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000d8k.htm"/>
      <w:bookmarkStart w:id="1" w:name="ksd15800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 xml:space="preserve">FORM </w:t>
      </w:r>
    </w:p>
    <w:p>
      <w:pPr>
        <w:pStyle w:val="TextBody"/>
        <w:bidi w:val="0"/>
        <w:spacing w:before="180" w:after="0"/>
        <w:jc w:val="center"/>
        <w:rPr>
          <w:rFonts w:ascii="Times New Roman" w:hAnsi="Times New Roman"/>
          <w:b/>
          <w:sz w:val="36"/>
        </w:rPr>
      </w:pPr>
      <w:r>
        <w:rPr>
          <w:rFonts w:ascii="Times New Roman" w:hAnsi="Times New Roman"/>
          <w:b/>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80" w:after="0"/>
        <w:jc w:val="center"/>
        <w:rPr>
          <w:rFonts w:ascii="Times New Roman" w:hAnsi="Times New Roman"/>
          <w:b/>
          <w:sz w:val="24"/>
        </w:rPr>
      </w:pPr>
      <w:r>
        <w:rPr>
          <w:rFonts w:ascii="Times New Roman" w:hAnsi="Times New Roman"/>
          <w:b/>
          <w:sz w:val="24"/>
        </w:rPr>
        <w:t xml:space="preserve">Date of Report (Date of earliest event reported): September 2,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BCP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4" w:type="dxa"/>
        <w:jc w:val="left"/>
        <w:tblInd w:w="0" w:type="dxa"/>
        <w:tblLayout w:type="fixed"/>
        <w:tblCellMar>
          <w:top w:w="0" w:type="dxa"/>
          <w:left w:w="0" w:type="dxa"/>
          <w:bottom w:w="0" w:type="dxa"/>
          <w:right w:w="0" w:type="dxa"/>
        </w:tblCellMar>
      </w:tblPr>
      <w:tblGrid>
        <w:gridCol w:w="2519"/>
        <w:gridCol w:w="76"/>
        <w:gridCol w:w="1339"/>
        <w:gridCol w:w="60"/>
        <w:gridCol w:w="1370"/>
      </w:tblGrid>
      <w:tr>
        <w:trPr/>
        <w:tc>
          <w:tcPr>
            <w:tcW w:w="25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519" w:type="dxa"/>
            <w:tcBorders/>
            <w:vAlign w:val="center"/>
          </w:tcPr>
          <w:p>
            <w:pPr>
              <w:pStyle w:val="TableContents"/>
              <w:bidi w:val="0"/>
              <w:spacing w:before="0" w:after="0"/>
              <w:jc w:val="center"/>
              <w:rPr>
                <w:b/>
              </w:rPr>
            </w:pPr>
            <w:r>
              <w:rPr>
                <w:b/>
              </w:rPr>
              <w:t>Delaware</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b/>
              </w:rPr>
            </w:pPr>
            <w:r>
              <w:rPr>
                <w:b/>
              </w:rPr>
              <w:t>814-00735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20-5951150</w:t>
            </w:r>
          </w:p>
        </w:tc>
      </w:tr>
      <w:tr>
        <w:trPr/>
        <w:tc>
          <w:tcPr>
            <w:tcW w:w="251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650 Madison Avenue, 3rd Floor</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10022</w:t>
            </w:r>
          </w:p>
        </w:tc>
      </w:tr>
      <w:tr>
        <w:trPr/>
        <w:tc>
          <w:tcPr>
            <w:tcW w:w="3934" w:type="dxa"/>
            <w:gridSpan w:val="3"/>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(Registrant’s telephone number, including area code): (212) </w:t>
      </w:r>
    </w:p>
    <w:p>
      <w:pPr>
        <w:pStyle w:val="TextBody"/>
        <w:bidi w:val="0"/>
        <w:spacing w:before="180" w:after="0"/>
        <w:jc w:val="center"/>
        <w:rPr>
          <w:rFonts w:ascii="Times New Roman" w:hAnsi="Times New Roman"/>
          <w:b/>
          <w:sz w:val="20"/>
        </w:rPr>
      </w:pPr>
      <w:r>
        <w:rPr>
          <w:rFonts w:ascii="Times New Roman" w:hAnsi="Times New Roman"/>
          <w:b/>
          <w:sz w:val="20"/>
        </w:rPr>
        <w:t>891-2880</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180" w:after="0"/>
        <w:jc w:val="left"/>
        <w:rPr>
          <w:rFonts w:ascii="Times New Roman" w:hAnsi="Times New Roman"/>
          <w:sz w:val="20"/>
        </w:rPr>
      </w:pPr>
      <w:r>
        <w:rPr>
          <w:rFonts w:ascii="Times New Roman" w:hAnsi="Times New Roman"/>
          <w:sz w:val="20"/>
        </w:rPr>
        <w:t>8-K</w:t>
      </w:r>
    </w:p>
    <w:p>
      <w:pPr>
        <w:pStyle w:val="TextBody"/>
        <w:bidi w:val="0"/>
        <w:spacing w:before="18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Instructions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Securities registered pursuant to Section 12(b) of the Exchange Act: </w:t>
      </w:r>
    </w:p>
    <w:p>
      <w:pPr>
        <w:pStyle w:val="TextBody"/>
        <w:bidi w:val="0"/>
        <w:spacing w:before="0" w:after="0"/>
        <w:jc w:val="left"/>
        <w:rPr/>
      </w:pPr>
      <w:r>
        <w:rPr/>
        <w:t> </w:t>
      </w:r>
    </w:p>
    <w:tbl>
      <w:tblPr>
        <w:tblW w:w="8460" w:type="dxa"/>
        <w:jc w:val="left"/>
        <w:tblInd w:w="0" w:type="dxa"/>
        <w:tblLayout w:type="fixed"/>
        <w:tblCellMar>
          <w:top w:w="0" w:type="dxa"/>
          <w:left w:w="0" w:type="dxa"/>
          <w:bottom w:w="0" w:type="dxa"/>
          <w:right w:w="0" w:type="dxa"/>
        </w:tblCellMar>
      </w:tblPr>
      <w:tblGrid>
        <w:gridCol w:w="4025"/>
        <w:gridCol w:w="60"/>
        <w:gridCol w:w="740"/>
        <w:gridCol w:w="60"/>
        <w:gridCol w:w="357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57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BCIC</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w:t>
      </w:r>
    </w:p>
    <w:p>
      <w:pPr>
        <w:pStyle w:val="TextBody"/>
        <w:bidi w:val="0"/>
        <w:spacing w:before="180" w:after="0"/>
        <w:jc w:val="left"/>
        <w:rPr>
          <w:rFonts w:ascii="Times New Roman" w:hAnsi="Times New Roman"/>
          <w:sz w:val="20"/>
        </w:rPr>
      </w:pPr>
      <w:r>
        <w:rPr>
          <w:rFonts w:ascii="Times New Roman" w:hAnsi="Times New Roman"/>
          <w:sz w:val="20"/>
        </w:rPr>
        <w:t>12b-2</w:t>
      </w:r>
    </w:p>
    <w:p>
      <w:pPr>
        <w:pStyle w:val="TextBody"/>
        <w:bidi w:val="0"/>
        <w:spacing w:before="180" w:after="0"/>
        <w:jc w:val="left"/>
        <w:rPr>
          <w:rFonts w:ascii="Times New Roman" w:hAnsi="Times New Roman"/>
          <w:sz w:val="20"/>
        </w:rPr>
      </w:pPr>
      <w:r>
        <w:rPr>
          <w:rFonts w:ascii="Times New Roman" w:hAnsi="Times New Roman"/>
          <w:sz w:val="20"/>
        </w:rPr>
        <w:t xml:space="preserve">of the Securities Exchange Act of 1934 (§ </w:t>
      </w:r>
    </w:p>
    <w:p>
      <w:pPr>
        <w:pStyle w:val="TextBody"/>
        <w:bidi w:val="0"/>
        <w:spacing w:before="180" w:after="0"/>
        <w:jc w:val="left"/>
        <w:rPr>
          <w:rFonts w:ascii="Times New Roman" w:hAnsi="Times New Roman"/>
          <w:sz w:val="20"/>
        </w:rPr>
      </w:pPr>
      <w:r>
        <w:rPr>
          <w:rFonts w:ascii="Times New Roman" w:hAnsi="Times New Roman"/>
          <w:sz w:val="20"/>
        </w:rPr>
        <w:t>240.12b-2</w:t>
      </w:r>
    </w:p>
    <w:p>
      <w:pPr>
        <w:pStyle w:val="TextBody"/>
        <w:bidi w:val="0"/>
        <w:spacing w:before="180" w:after="0"/>
        <w:jc w:val="left"/>
        <w:rPr>
          <w:rFonts w:ascii="Times New Roman" w:hAnsi="Times New Roman"/>
          <w:sz w:val="20"/>
        </w:rPr>
      </w:pPr>
      <w:r>
        <w:rPr>
          <w:rFonts w:ascii="Times New Roman" w:hAnsi="Times New Roman"/>
          <w:sz w:val="20"/>
        </w:rPr>
        <w:t xml:space="preserve">of this chapter). </w:t>
      </w:r>
    </w:p>
    <w:p>
      <w:pPr>
        <w:pStyle w:val="TextBody"/>
        <w:bidi w:val="0"/>
        <w:spacing w:before="18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0"/>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Additional Notes Offering </w:t>
      </w:r>
    </w:p>
    <w:p>
      <w:pPr>
        <w:pStyle w:val="TextBody"/>
        <w:bidi w:val="0"/>
        <w:spacing w:before="120" w:after="0"/>
        <w:jc w:val="left"/>
        <w:rPr>
          <w:rFonts w:ascii="Times New Roman" w:hAnsi="Times New Roman"/>
          <w:sz w:val="20"/>
        </w:rPr>
      </w:pPr>
      <w:r>
        <w:rPr>
          <w:rFonts w:ascii="Times New Roman" w:hAnsi="Times New Roman"/>
          <w:sz w:val="20"/>
        </w:rPr>
        <w:t xml:space="preserve">On September 2, 2026, BCP Investment Corporation (the “Company”) entered into a note purchase agreement (the “Note Purchase Agreement”), by and among the Company and each purchaser named therein (the “Purchasers”), in connection with the issuance and sale of $10,000,000 in aggregate principal amount of additional 7.50% notes due 2029 (the “New Notes”), pursuant to an effective shelf registration statement on Form </w:t>
      </w:r>
    </w:p>
    <w:p>
      <w:pPr>
        <w:pStyle w:val="TextBody"/>
        <w:bidi w:val="0"/>
        <w:spacing w:before="120" w:after="0"/>
        <w:jc w:val="left"/>
        <w:rPr>
          <w:rFonts w:ascii="Times New Roman" w:hAnsi="Times New Roman"/>
          <w:sz w:val="20"/>
        </w:rPr>
      </w:pPr>
      <w:r>
        <w:rPr>
          <w:rFonts w:ascii="Times New Roman" w:hAnsi="Times New Roman"/>
          <w:sz w:val="20"/>
        </w:rPr>
        <w:t>N-2</w:t>
      </w:r>
    </w:p>
    <w:p>
      <w:pPr>
        <w:pStyle w:val="TextBody"/>
        <w:bidi w:val="0"/>
        <w:spacing w:before="120" w:after="0"/>
        <w:jc w:val="left"/>
        <w:rPr>
          <w:rFonts w:ascii="Times New Roman" w:hAnsi="Times New Roman"/>
          <w:sz w:val="20"/>
        </w:rPr>
      </w:pPr>
      <w:r>
        <w:rPr>
          <w:rFonts w:ascii="Times New Roman" w:hAnsi="Times New Roman"/>
          <w:sz w:val="20"/>
        </w:rPr>
        <w:t xml:space="preserve">(File </w:t>
      </w:r>
    </w:p>
    <w:p>
      <w:pPr>
        <w:pStyle w:val="TextBody"/>
        <w:bidi w:val="0"/>
        <w:spacing w:before="120" w:after="0"/>
        <w:jc w:val="left"/>
        <w:rPr>
          <w:rFonts w:ascii="Times New Roman" w:hAnsi="Times New Roman"/>
          <w:sz w:val="20"/>
        </w:rPr>
      </w:pPr>
      <w:r>
        <w:rPr>
          <w:rFonts w:ascii="Times New Roman" w:hAnsi="Times New Roman"/>
          <w:sz w:val="20"/>
        </w:rPr>
        <w:t>No. 333-283443),</w:t>
      </w:r>
    </w:p>
    <w:p>
      <w:pPr>
        <w:pStyle w:val="TextBody"/>
        <w:bidi w:val="0"/>
        <w:spacing w:before="120" w:after="0"/>
        <w:jc w:val="left"/>
        <w:rPr>
          <w:rFonts w:ascii="Times New Roman" w:hAnsi="Times New Roman"/>
          <w:sz w:val="20"/>
        </w:rPr>
      </w:pPr>
      <w:r>
        <w:rPr>
          <w:rFonts w:ascii="Times New Roman" w:hAnsi="Times New Roman"/>
          <w:sz w:val="20"/>
        </w:rPr>
        <w:t xml:space="preserve">as amended, which was declared effective on February 10, 2025. The New Notes are being issued as additional notes under the same indenture pursuant to which the Company previously issued $50,000,000 aggregate principal amount of 7.50% Notes due 2029 on March 24, 2026 (the ”Existing Notes” and, together with the New Notes, the “Notes”). The New Notes will be consolidated with and treated as a single series with the Existing Notes and will have the same terms as to status, redemption and otherwise (other than issue date) as the Existing Notes. The Company intends to use the net proceeds of the offering to repay an aggregate principal amount of $10.0 million of the LRFC 5.25% fixed rate notes due 2026 and to pay down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New Notes are being issued under the Base Indenture, dated as of October 10, 2012, between the Company and U.S. Bank Trust Company, National Association (the “Trustee”), as supplemented by the Sixth Supplemental Indenture, dated as of March 24, 2026 (together, the “Indenture”), pursuant to which the Existing Notes were previously issued.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September 24, 2029. The Notes may be redeemed in whole or in part at the Company’s option at any time or from time to time prior to April 24, 2029 at par value plus a “make-whole” premium calculated in accordance with the terms under “optional redemption” in the Indenture and at par value on April 24, 2029 or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Notes bear interest at the rate of 7.50% per year, payable semi-annually on April 30 and October 30 of each year, commencing on April 30, 2026. The Notes are general unsecured obligations of the Company that rank senior in right of payment to all of the Company’s existing and future indebtedness that is expressly subordinated in right of payment to the Notes, rank </w:t>
      </w:r>
    </w:p>
    <w:p>
      <w:pPr>
        <w:pStyle w:val="TextBody"/>
        <w:bidi w:val="0"/>
        <w:spacing w:before="240" w:after="0"/>
        <w:jc w:val="left"/>
        <w:rPr>
          <w:rFonts w:ascii="Times New Roman" w:hAnsi="Times New Roman"/>
          <w:i/>
          <w:sz w:val="20"/>
        </w:rPr>
      </w:pPr>
      <w:r>
        <w:rPr>
          <w:rFonts w:ascii="Times New Roman" w:hAnsi="Times New Roman"/>
          <w:i/>
          <w:sz w:val="20"/>
        </w:rPr>
        <w:t>pari passu</w:t>
      </w:r>
    </w:p>
    <w:p>
      <w:pPr>
        <w:pStyle w:val="TextBody"/>
        <w:bidi w:val="0"/>
        <w:spacing w:before="240" w:after="0"/>
        <w:jc w:val="left"/>
        <w:rPr>
          <w:rFonts w:ascii="Times New Roman" w:hAnsi="Times New Roman"/>
          <w:sz w:val="20"/>
        </w:rPr>
      </w:pPr>
      <w:r>
        <w:rPr>
          <w:rFonts w:ascii="Times New Roman" w:hAnsi="Times New Roman"/>
          <w:sz w:val="20"/>
        </w:rPr>
        <w:t xml:space="preserve">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certain covenants, including covenants requiring the Company to comply with the asset coverage requirements of Sections 18(a)(1)(A) and 18(a)(1)(B) as modified by Section 61(a)(2) of the Investment Company Act of 1940, as amended, whether or not it is subject to those requirements, and to provide financial information to the holders of the Notes and the Trustee if the Company is no longer subject to the reporting requirements under the Securities Exchange Act of 1934, as amended. Additionally, the Company has agreed to use its commercially reasonable efforts to maintain a rating of the Notes from a rating agency, as defined in the Indenture, as long as the Notes are outstanding. These covenants are subject to important limitations and exceptions that are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New Notes does not purport to be complete and is qualified in its entirety by reference to the full text of the Note Purchase Agreement and Indenture, filed as exhibits hereto and incorporated by reference herein.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1025"/>
        <w:gridCol w:w="5825"/>
      </w:tblGrid>
      <w:tr>
        <w:trPr/>
        <w:tc>
          <w:tcPr>
            <w:tcW w:w="1025" w:type="dxa"/>
            <w:tcBorders/>
            <w:vAlign w:val="center"/>
          </w:tcPr>
          <w:p>
            <w:pPr>
              <w:pStyle w:val="TableContents"/>
              <w:bidi w:val="0"/>
              <w:spacing w:before="0" w:after="0"/>
              <w:jc w:val="left"/>
              <w:rPr>
                <w:b/>
              </w:rPr>
            </w:pPr>
            <w:r>
              <w:rPr>
                <w:b/>
              </w:rPr>
              <w:t>Item 2.03.</w:t>
            </w:r>
          </w:p>
        </w:tc>
        <w:tc>
          <w:tcPr>
            <w:tcW w:w="58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w:t>
            </w:r>
          </w:p>
          <w:p>
            <w:pPr>
              <w:pStyle w:val="TableContents"/>
              <w:bidi w:val="0"/>
              <w:spacing w:before="0" w:after="0"/>
              <w:jc w:val="left"/>
              <w:rPr>
                <w:rFonts w:ascii="Times New Roman" w:hAnsi="Times New Roman"/>
                <w:b/>
                <w:sz w:val="20"/>
              </w:rPr>
            </w:pPr>
            <w:r>
              <w:rPr>
                <w:rFonts w:ascii="Times New Roman" w:hAnsi="Times New Roman"/>
                <w:b/>
                <w:sz w:val="20"/>
              </w:rPr>
              <w:t>Off-Balance</w:t>
            </w:r>
          </w:p>
          <w:p>
            <w:pPr>
              <w:pStyle w:val="TableContents"/>
              <w:bidi w:val="0"/>
              <w:spacing w:before="0" w:after="0"/>
              <w:jc w:val="left"/>
              <w:rPr>
                <w:rFonts w:ascii="Times New Roman" w:hAnsi="Times New Roman"/>
                <w:b/>
                <w:sz w:val="20"/>
              </w:rPr>
            </w:pPr>
            <w:r>
              <w:rPr>
                <w:rFonts w:ascii="Times New Roman" w:hAnsi="Times New Roman"/>
                <w:b/>
                <w:sz w:val="20"/>
              </w:rPr>
              <w:t xml:space="preserve">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Item 2.03 contained in Item 1.01 of this Current Report on Form </w:t>
      </w:r>
    </w:p>
    <w:p>
      <w:pPr>
        <w:pStyle w:val="TextBody"/>
        <w:bidi w:val="0"/>
        <w:spacing w:before="120" w:after="0"/>
        <w:jc w:val="left"/>
        <w:rPr>
          <w:rFonts w:ascii="Times New Roman" w:hAnsi="Times New Roman"/>
          <w:sz w:val="20"/>
        </w:rPr>
      </w:pPr>
      <w:r>
        <w:rPr>
          <w:rFonts w:ascii="Times New Roman" w:hAnsi="Times New Roman"/>
          <w:sz w:val="20"/>
        </w:rPr>
        <w:t>8-K</w:t>
      </w:r>
    </w:p>
    <w:p>
      <w:pPr>
        <w:pStyle w:val="TextBody"/>
        <w:bidi w:val="0"/>
        <w:spacing w:before="120" w:after="0"/>
        <w:jc w:val="left"/>
        <w:rPr>
          <w:rFonts w:ascii="Times New Roman" w:hAnsi="Times New Roman"/>
          <w:sz w:val="20"/>
        </w:rPr>
      </w:pPr>
      <w:r>
        <w:rPr>
          <w:rFonts w:ascii="Times New Roman" w:hAnsi="Times New Roman"/>
          <w:sz w:val="20"/>
        </w:rPr>
        <w:t xml:space="preserve">is incorporated herein by reference. </w:t>
      </w:r>
    </w:p>
    <w:p>
      <w:pPr>
        <w:pStyle w:val="HorizontalLine"/>
        <w:pBdr>
          <w:bottom w:val="double" w:sz="2" w:space="0" w:color="808080"/>
        </w:pBdr>
        <w:bidi w:val="0"/>
        <w:spacing w:before="0" w:after="283"/>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0"/>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0"/>
              <w:jc w:val="center"/>
              <w:rPr>
                <w:b/>
              </w:rPr>
            </w:pPr>
            <w:r>
              <w:rPr>
                <w:b/>
              </w:rPr>
              <w:t>Exhibit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
              <w:r>
                <w:rPr>
                  <w:rStyle w:val="InternetLink"/>
                </w:rPr>
                <w:t xml:space="preserve">Sixth Supplemental Indenture, dated as of March 24, 2026, relating to the 7.50% Notes due 2029, by and between the Company and U.S. Bank Trust Company, National Association, as trustee. (Incorporated by reference to Exhibit 4.1 to the Company’s Current Report on Form 8-K filed on March 24,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
              <w:r>
                <w:rPr>
                  <w:rStyle w:val="InternetLink"/>
                </w:rPr>
                <w:t xml:space="preserve">Form of 7.50% Notes due 2029. (Incorporated by reference to Exhibit 4.1 hereto.)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58000dex51.htm">
              <w:r>
                <w:rPr>
                  <w:rStyle w:val="InternetLink"/>
                </w:rPr>
                <w:t xml:space="preserve">Opinion of Dechert LLP, dated September 3,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58000dex101.htm">
              <w:r>
                <w:rPr>
                  <w:rStyle w:val="InternetLink"/>
                </w:rPr>
                <w:t xml:space="preserve">Note Purchase Agreement, dated September 2,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949" w:type="dxa"/>
        <w:jc w:val="left"/>
        <w:tblInd w:w="0" w:type="dxa"/>
        <w:tblLayout w:type="fixed"/>
        <w:tblCellMar>
          <w:top w:w="0" w:type="dxa"/>
          <w:left w:w="0" w:type="dxa"/>
          <w:bottom w:w="0" w:type="dxa"/>
          <w:right w:w="0" w:type="dxa"/>
        </w:tblCellMar>
      </w:tblPr>
      <w:tblGrid>
        <w:gridCol w:w="890"/>
        <w:gridCol w:w="80"/>
        <w:gridCol w:w="2979"/>
      </w:tblGrid>
      <w:tr>
        <w:trPr/>
        <w:tc>
          <w:tcPr>
            <w:tcW w:w="89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pPr>
            <w:r>
              <w:rPr/>
              <w:t>BCP INVESTMENT CORPORATION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3059"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By:</w:t>
            </w:r>
          </w:p>
        </w:tc>
        <w:tc>
          <w:tcPr>
            <w:tcW w:w="80"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Brandon Satoren</w:t>
            </w:r>
          </w:p>
        </w:tc>
      </w:tr>
      <w:tr>
        <w:trPr/>
        <w:tc>
          <w:tcPr>
            <w:tcW w:w="890" w:type="dxa"/>
            <w:tcBorders/>
            <w:vAlign w:val="center"/>
          </w:tcPr>
          <w:p>
            <w:pPr>
              <w:pStyle w:val="TableContents"/>
              <w:bidi w:val="0"/>
              <w:spacing w:before="0" w:after="283"/>
              <w:jc w:val="left"/>
              <w:rPr/>
            </w:pPr>
            <w:r>
              <w:rPr/>
              <w:t>Name:</w:t>
            </w:r>
          </w:p>
        </w:tc>
        <w:tc>
          <w:tcPr>
            <w:tcW w:w="80"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Brandon Satoren</w:t>
            </w:r>
          </w:p>
        </w:tc>
      </w:tr>
      <w:tr>
        <w:trPr/>
        <w:tc>
          <w:tcPr>
            <w:tcW w:w="890" w:type="dxa"/>
            <w:tcBorders/>
            <w:vAlign w:val="center"/>
          </w:tcPr>
          <w:p>
            <w:pPr>
              <w:pStyle w:val="TableContents"/>
              <w:bidi w:val="0"/>
              <w:spacing w:before="0" w:after="283"/>
              <w:jc w:val="left"/>
              <w:rPr/>
            </w:pPr>
            <w:r>
              <w:rPr/>
              <w:t>Title:</w:t>
            </w:r>
          </w:p>
        </w:tc>
        <w:tc>
          <w:tcPr>
            <w:tcW w:w="80"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Chief Financial Officer</w:t>
            </w:r>
          </w:p>
        </w:tc>
      </w:tr>
    </w:tbl>
    <w:p>
      <w:pPr>
        <w:pStyle w:val="TextBody"/>
        <w:bidi w:val="0"/>
        <w:spacing w:before="240" w:after="283"/>
        <w:jc w:val="left"/>
        <w:rPr>
          <w:rFonts w:ascii="Times New Roman" w:hAnsi="Times New Roman"/>
          <w:sz w:val="20"/>
        </w:rPr>
      </w:pPr>
      <w:r>
        <w:rPr>
          <w:rFonts w:ascii="Times New Roman" w:hAnsi="Times New Roman"/>
          <w:sz w:val="20"/>
        </w:rPr>
        <w:t xml:space="preserve">Date: September 3, 2026 </w:t>
      </w:r>
    </w:p>
    <w:p>
      <w:pPr>
        <w:pStyle w:val="TextBody"/>
        <w:bidi w:val="0"/>
        <w:spacing w:before="0" w:after="0"/>
        <w:jc w:val="right"/>
        <w:rPr>
          <w:rFonts w:ascii="Times New Roman" w:hAnsi="Times New Roman"/>
          <w:b/>
          <w:sz w:val="20"/>
        </w:rPr>
      </w:pPr>
      <w:bookmarkStart w:id="2" w:name="d158000dex51.htm"/>
      <w:bookmarkStart w:id="3" w:name="ksd158000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drawing>
                <wp:inline distT="0" distB="0" distL="0" distR="0">
                  <wp:extent cx="93345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933450" cy="90487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1900 K Street, NW </w:t>
              <w:br/>
              <w:t>Washington, DC 20006-1110</w:t>
            </w:r>
          </w:p>
          <w:p>
            <w:pPr>
              <w:pStyle w:val="TableContents"/>
              <w:bidi w:val="0"/>
              <w:spacing w:before="0" w:after="0"/>
              <w:jc w:val="left"/>
              <w:rPr>
                <w:rFonts w:ascii="Times New Roman" w:hAnsi="Times New Roman"/>
                <w:sz w:val="20"/>
              </w:rPr>
            </w:pPr>
            <w:r>
              <w:rPr>
                <w:rFonts w:ascii="Times New Roman" w:hAnsi="Times New Roman"/>
                <w:sz w:val="20"/>
              </w:rPr>
              <w:t>+1 202 261 3300 Main</w:t>
            </w:r>
          </w:p>
          <w:p>
            <w:pPr>
              <w:pStyle w:val="TableContents"/>
              <w:bidi w:val="0"/>
              <w:spacing w:before="0" w:after="0"/>
              <w:jc w:val="left"/>
              <w:rPr>
                <w:rFonts w:ascii="Times New Roman" w:hAnsi="Times New Roman"/>
                <w:sz w:val="20"/>
              </w:rPr>
            </w:pPr>
            <w:r>
              <w:rPr>
                <w:rFonts w:ascii="Times New Roman" w:hAnsi="Times New Roman"/>
                <w:sz w:val="20"/>
              </w:rPr>
              <w:t>+1 202 261 3333 Fax</w:t>
            </w:r>
          </w:p>
          <w:p>
            <w:pPr>
              <w:pStyle w:val="TableContents"/>
              <w:bidi w:val="0"/>
              <w:spacing w:before="0" w:after="0"/>
              <w:jc w:val="left"/>
              <w:rPr>
                <w:rFonts w:ascii="Times New Roman" w:hAnsi="Times New Roman"/>
                <w:sz w:val="20"/>
              </w:rPr>
            </w:pPr>
            <w:r>
              <w:rPr>
                <w:rFonts w:ascii="Times New Roman" w:hAnsi="Times New Roman"/>
                <w:sz w:val="20"/>
              </w:rPr>
              <w:t>www.dechert.com</w:t>
            </w:r>
          </w:p>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3, 2026 </w:t>
      </w:r>
    </w:p>
    <w:p>
      <w:pPr>
        <w:pStyle w:val="TextBody"/>
        <w:bidi w:val="0"/>
        <w:spacing w:before="240" w:after="0"/>
        <w:jc w:val="left"/>
        <w:rPr>
          <w:rFonts w:ascii="Times New Roman" w:hAnsi="Times New Roman"/>
          <w:sz w:val="20"/>
        </w:rPr>
      </w:pPr>
      <w:r>
        <w:rPr>
          <w:rFonts w:ascii="Times New Roman" w:hAnsi="Times New Roman"/>
          <w:sz w:val="20"/>
        </w:rPr>
        <w:t xml:space="preserve">BCP Investment Corporation </w:t>
      </w:r>
    </w:p>
    <w:p>
      <w:pPr>
        <w:pStyle w:val="TextBody"/>
        <w:bidi w:val="0"/>
        <w:spacing w:before="0" w:after="0"/>
        <w:jc w:val="left"/>
        <w:rPr>
          <w:rFonts w:ascii="Times New Roman" w:hAnsi="Times New Roman"/>
          <w:sz w:val="20"/>
        </w:rPr>
      </w:pPr>
      <w:r>
        <w:rPr>
          <w:rFonts w:ascii="Times New Roman" w:hAnsi="Times New Roman"/>
          <w:sz w:val="20"/>
        </w:rPr>
        <w:t xml:space="preserve">650 Madison Avenue, 3rd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BCP Investment Corporation (f/k/a Portman Ridge Finance Corporation), a Delaware corporation (the “</w:t>
      </w:r>
      <w:r>
        <w:rPr>
          <w:rFonts w:ascii="Times New Roman" w:hAnsi="Times New Roman"/>
          <w:sz w:val="20"/>
          <w:u w:val="single"/>
        </w:rPr>
        <w:t>Company</w:t>
      </w:r>
      <w:r>
        <w:rPr>
          <w:rFonts w:ascii="Times New Roman" w:hAnsi="Times New Roman"/>
          <w:sz w:val="20"/>
        </w:rPr>
        <w:t>”), in connection with the preparation and filing of a registration statement on Form N-2 (File No. 333-283443) as originally filed on November 25, 2024 and declared effective by the U.S. Securities and Exchange Commission (the “</w:t>
      </w:r>
      <w:r>
        <w:rPr>
          <w:rFonts w:ascii="Times New Roman" w:hAnsi="Times New Roman"/>
          <w:sz w:val="20"/>
          <w:u w:val="single"/>
        </w:rPr>
        <w:t>Commission</w:t>
      </w:r>
      <w:r>
        <w:rPr>
          <w:rFonts w:ascii="Times New Roman" w:hAnsi="Times New Roman"/>
          <w:sz w:val="20"/>
        </w:rPr>
        <w:t>”) on February 10, 2025 under the Securities Act of 1933, as amended (the “</w:t>
      </w:r>
      <w:r>
        <w:rPr>
          <w:rFonts w:ascii="Times New Roman" w:hAnsi="Times New Roman"/>
          <w:sz w:val="20"/>
          <w:u w:val="single"/>
        </w:rPr>
        <w:t>Securities Act</w:t>
      </w:r>
      <w:r>
        <w:rPr>
          <w:rFonts w:ascii="Times New Roman" w:hAnsi="Times New Roman"/>
          <w:sz w:val="20"/>
        </w:rPr>
        <w:t>”) (such registration statement, as amended, including the exhibits and schedules thereto, at its most recent effective date, and including any information contained in the Prospectus (as defined below) subsequently filed with the Commission pursuant to Rule 424 or deemed to be part of such registration statement pursuant to Rule 430B of the Commission under the Securities Act and any information incorporated by reference into any of the foregoing, being referred to collectively as the “</w:t>
      </w:r>
      <w:r>
        <w:rPr>
          <w:rFonts w:ascii="Times New Roman" w:hAnsi="Times New Roman"/>
          <w:sz w:val="20"/>
          <w:u w:val="single"/>
        </w:rPr>
        <w:t>Registration Statement</w:t>
      </w:r>
      <w:r>
        <w:rPr>
          <w:rFonts w:ascii="Times New Roman" w:hAnsi="Times New Roman"/>
          <w:sz w:val="20"/>
        </w:rPr>
        <w:t>”), relating to the public offering of securities of the Company that may be offered by the Company from time to time as set forth in the prospectus dated February 10, 2025 (the “</w:t>
      </w:r>
      <w:r>
        <w:rPr>
          <w:rFonts w:ascii="Times New Roman" w:hAnsi="Times New Roman"/>
          <w:sz w:val="20"/>
          <w:u w:val="single"/>
        </w:rPr>
        <w:t>Base Prospectus</w:t>
      </w:r>
      <w:r>
        <w:rPr>
          <w:rFonts w:ascii="Times New Roman" w:hAnsi="Times New Roman"/>
          <w:sz w:val="20"/>
        </w:rPr>
        <w:t xml:space="preserve">”), which formed a part of the Registration Statement at the time it became effective, and as may be set forth from time to time in amounts, at prices, and on terms to be set forth in one or more supplements to the Base Prospectus. </w:t>
      </w:r>
    </w:p>
    <w:p>
      <w:pPr>
        <w:pStyle w:val="TextBody"/>
        <w:bidi w:val="0"/>
        <w:spacing w:before="240" w:after="0"/>
        <w:jc w:val="left"/>
        <w:rPr>
          <w:rFonts w:ascii="Times New Roman" w:hAnsi="Times New Roman"/>
          <w:sz w:val="20"/>
        </w:rPr>
      </w:pPr>
      <w:r>
        <w:rPr>
          <w:rFonts w:ascii="Times New Roman" w:hAnsi="Times New Roman"/>
          <w:sz w:val="20"/>
        </w:rPr>
        <w:t>This opinion letter is rendered in connection with the issuance and sale by the Company of $10,000,000 in aggregate principal amount of additional 7.50% notes due 2029 (the “</w:t>
      </w:r>
      <w:r>
        <w:rPr>
          <w:rFonts w:ascii="Times New Roman" w:hAnsi="Times New Roman"/>
          <w:sz w:val="20"/>
          <w:u w:val="single"/>
        </w:rPr>
        <w:t>New Notes</w:t>
      </w:r>
      <w:r>
        <w:rPr>
          <w:rFonts w:ascii="Times New Roman" w:hAnsi="Times New Roman"/>
          <w:sz w:val="20"/>
        </w:rPr>
        <w:t>”) pursuant to the Note Purchase Agreement, dated as of September 2, 2026 (the “</w:t>
      </w:r>
      <w:r>
        <w:rPr>
          <w:rFonts w:ascii="Times New Roman" w:hAnsi="Times New Roman"/>
          <w:sz w:val="20"/>
          <w:u w:val="single"/>
        </w:rPr>
        <w:t>Note Purchase Agreement</w:t>
      </w:r>
      <w:r>
        <w:rPr>
          <w:rFonts w:ascii="Times New Roman" w:hAnsi="Times New Roman"/>
          <w:sz w:val="20"/>
        </w:rPr>
        <w:t>”), by and among the Company and the purchaser (the “</w:t>
      </w:r>
      <w:r>
        <w:rPr>
          <w:rFonts w:ascii="Times New Roman" w:hAnsi="Times New Roman"/>
          <w:sz w:val="20"/>
          <w:u w:val="single"/>
        </w:rPr>
        <w:t>Purchaser</w:t>
      </w:r>
      <w:r>
        <w:rPr>
          <w:rFonts w:ascii="Times New Roman" w:hAnsi="Times New Roman"/>
          <w:sz w:val="20"/>
        </w:rPr>
        <w:t xml:space="preserve">”) named in </w:t>
      </w:r>
      <w:r>
        <w:rPr>
          <w:rFonts w:ascii="Times New Roman" w:hAnsi="Times New Roman"/>
          <w:sz w:val="20"/>
          <w:u w:val="single"/>
        </w:rPr>
        <w:t>Schedule I</w:t>
      </w:r>
      <w:r>
        <w:rPr>
          <w:rFonts w:ascii="Times New Roman" w:hAnsi="Times New Roman"/>
          <w:sz w:val="20"/>
        </w:rPr>
        <w:t xml:space="preserve"> thereto. The New Notes will be issued as additional notes under the same indenture pursuant to which the Company previously issued $50,000,000 aggregate principal amount of 7.50% Notes due 2029 (the “</w:t>
      </w:r>
      <w:r>
        <w:rPr>
          <w:rFonts w:ascii="Times New Roman" w:hAnsi="Times New Roman"/>
          <w:sz w:val="20"/>
          <w:u w:val="single"/>
        </w:rPr>
        <w:t>Existing Notes</w:t>
      </w:r>
      <w:r>
        <w:rPr>
          <w:rFonts w:ascii="Times New Roman" w:hAnsi="Times New Roman"/>
          <w:sz w:val="20"/>
        </w:rPr>
        <w:t>” and, together with the New Notes, the “</w:t>
      </w:r>
      <w:r>
        <w:rPr>
          <w:rFonts w:ascii="Times New Roman" w:hAnsi="Times New Roman"/>
          <w:sz w:val="20"/>
          <w:u w:val="single"/>
        </w:rPr>
        <w:t>Notes</w:t>
      </w:r>
      <w:r>
        <w:rPr>
          <w:rFonts w:ascii="Times New Roman" w:hAnsi="Times New Roman"/>
          <w:sz w:val="20"/>
        </w:rPr>
        <w:t>”). All of the New Notes are to be sold by the Company as described in the Registration Statement, the Base Prospectus and the prospectus supplement dated September 2, 2026 (the “</w:t>
      </w:r>
      <w:r>
        <w:rPr>
          <w:rFonts w:ascii="Times New Roman" w:hAnsi="Times New Roman"/>
          <w:sz w:val="20"/>
          <w:u w:val="single"/>
        </w:rPr>
        <w:t>Prospectus Supplement</w:t>
      </w:r>
      <w:r>
        <w:rPr>
          <w:rFonts w:ascii="Times New Roman" w:hAnsi="Times New Roman"/>
          <w:sz w:val="20"/>
        </w:rPr>
        <w:t>” and, together with the Base Prospectus, the “</w:t>
      </w:r>
      <w:r>
        <w:rPr>
          <w:rFonts w:ascii="Times New Roman" w:hAnsi="Times New Roman"/>
          <w:sz w:val="20"/>
          <w:u w:val="single"/>
        </w:rPr>
        <w:t>Prospectus</w:t>
      </w:r>
      <w:r>
        <w:rPr>
          <w:rFonts w:ascii="Times New Roman" w:hAnsi="Times New Roman"/>
          <w:sz w:val="20"/>
        </w:rPr>
        <w:t xml:space="preserve">”). This opinion letter is being furnished to the Company pursuant to Section 3.2.1.2(g) of the Note Purchase Agreement and in accordance with the requirements of Item 25 of Form N-2 under the Securities Act, and we express no opinion herein as to any matter other than as to the legality of the New Notes.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96"/>
        <w:gridCol w:w="123"/>
        <w:gridCol w:w="3083"/>
        <w:gridCol w:w="123"/>
        <w:gridCol w:w="3180"/>
      </w:tblGrid>
      <w:tr>
        <w:trPr/>
        <w:tc>
          <w:tcPr>
            <w:tcW w:w="369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left"/>
              <w:rPr>
                <w:sz w:val="4"/>
                <w:szCs w:val="4"/>
              </w:rPr>
            </w:pPr>
            <w:r>
              <w:rPr>
                <w:sz w:val="4"/>
                <w:szCs w:val="4"/>
              </w:rPr>
            </w:r>
          </w:p>
        </w:tc>
      </w:tr>
      <w:tr>
        <w:trPr/>
        <w:tc>
          <w:tcPr>
            <w:tcW w:w="3696" w:type="dxa"/>
            <w:tcBorders/>
          </w:tcPr>
          <w:p>
            <w:pPr>
              <w:pStyle w:val="TableContents"/>
              <w:bidi w:val="0"/>
              <w:spacing w:before="0" w:after="283"/>
              <w:jc w:val="left"/>
              <w:rPr/>
            </w:pPr>
            <w:r>
              <w:rPr/>
              <w:drawing>
                <wp:inline distT="0" distB="0" distL="0" distR="0">
                  <wp:extent cx="933450"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933450" cy="90487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3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September 3, 2026</w:t>
            </w:r>
          </w:p>
          <w:p>
            <w:pPr>
              <w:pStyle w:val="TableContents"/>
              <w:bidi w:val="0"/>
              <w:spacing w:before="0" w:after="20"/>
              <w:jc w:val="right"/>
              <w:rPr>
                <w:rFonts w:ascii="Times New Roman" w:hAnsi="Times New Roman"/>
                <w:sz w:val="20"/>
              </w:rPr>
            </w:pPr>
            <w:r>
              <w:rPr>
                <w:rFonts w:ascii="Times New Roman" w:hAnsi="Times New Roman"/>
                <w:sz w:val="20"/>
              </w:rPr>
              <w:t xml:space="preserve">Page 2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of Incorporation of the Company, as amended from time to time, certified as of the date hereof by an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Fourth Amended and Restated Bylaws of the Company, certified as of the date hereof by an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good standing with respect to the Company issued by the Secretary of State of the State of Delaware as of a recent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base indenture between the Company and U.S. Bank Trust Company, National Association, a national banking association, as trustee (the “</w:t>
            </w:r>
            <w:r>
              <w:rPr>
                <w:rFonts w:ascii="Times New Roman" w:hAnsi="Times New Roman"/>
                <w:sz w:val="20"/>
                <w:u w:val="single"/>
              </w:rPr>
              <w:t>Trustee</w:t>
            </w:r>
            <w:r>
              <w:rPr>
                <w:rFonts w:ascii="Times New Roman" w:hAnsi="Times New Roman"/>
                <w:sz w:val="20"/>
              </w:rPr>
              <w:t>”), dated as of October 10, 2012 (the “</w:t>
            </w:r>
            <w:r>
              <w:rPr>
                <w:rFonts w:ascii="Times New Roman" w:hAnsi="Times New Roman"/>
                <w:sz w:val="20"/>
                <w:u w:val="single"/>
              </w:rPr>
              <w:t>Base Indenture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sixth supplemental indenture relating to the Notes, dated as of March 24, 2026, by and between the Company and the Trustee (together with the Base Indenture, the “</w:t>
            </w:r>
            <w:r>
              <w:rPr>
                <w:rFonts w:ascii="Times New Roman" w:hAnsi="Times New Roman"/>
                <w:sz w:val="20"/>
                <w:u w:val="single"/>
              </w:rPr>
              <w:t>Indenture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of the board of directors of the Company, or a duly authorized committee thereof, relating to, among other things, (a) the authorization and approval of the preparation and filing of the Registration Statement, (b) the authorization, execution and delivery of the Indenture and (c) the authorization, issuance and sale of the New Notes, certified as of the date hereof by an officer of the Company; and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96"/>
        <w:gridCol w:w="123"/>
        <w:gridCol w:w="3083"/>
        <w:gridCol w:w="123"/>
        <w:gridCol w:w="3180"/>
      </w:tblGrid>
      <w:tr>
        <w:trPr/>
        <w:tc>
          <w:tcPr>
            <w:tcW w:w="369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left"/>
              <w:rPr>
                <w:sz w:val="4"/>
                <w:szCs w:val="4"/>
              </w:rPr>
            </w:pPr>
            <w:r>
              <w:rPr>
                <w:sz w:val="4"/>
                <w:szCs w:val="4"/>
              </w:rPr>
            </w:r>
          </w:p>
        </w:tc>
      </w:tr>
      <w:tr>
        <w:trPr/>
        <w:tc>
          <w:tcPr>
            <w:tcW w:w="3696" w:type="dxa"/>
            <w:tcBorders/>
          </w:tcPr>
          <w:p>
            <w:pPr>
              <w:pStyle w:val="TableContents"/>
              <w:bidi w:val="0"/>
              <w:spacing w:before="0" w:after="283"/>
              <w:jc w:val="left"/>
              <w:rPr/>
            </w:pPr>
            <w:r>
              <w:rPr/>
              <w:drawing>
                <wp:inline distT="0" distB="0" distL="0" distR="0">
                  <wp:extent cx="933450" cy="90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933450" cy="90487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3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September 3, 2026</w:t>
            </w:r>
          </w:p>
          <w:p>
            <w:pPr>
              <w:pStyle w:val="TableContents"/>
              <w:bidi w:val="0"/>
              <w:spacing w:before="0" w:after="20"/>
              <w:jc w:val="right"/>
              <w:rPr>
                <w:rFonts w:ascii="Times New Roman" w:hAnsi="Times New Roman"/>
                <w:sz w:val="20"/>
              </w:rPr>
            </w:pPr>
            <w:r>
              <w:rPr>
                <w:rFonts w:ascii="Times New Roman" w:hAnsi="Times New Roman"/>
                <w:sz w:val="20"/>
              </w:rPr>
              <w:t xml:space="preserve">Page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specimen copy of the form of the New Notes to be issued pursuant to the Indenture in the form attached to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such examination and our opinion expressed herein, we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documents submitted to us as conformed or reproduced copies and the authenticity of the originals of such copied documents, (v) that all certificates issued by public officials or officers of the Company have been properly issued, (vi) the accuracy and completeness of all corporate records made available to us by the Company, (vii) that the Indenture is a valid and legally binding obligation of the parties thereto (other than the Company), and (viii) that at the time of issuance of the New Notes, after giving effect to such issuance, the Company will be in compliance with Section 18(a)(1)(A) of the Investment Company Act of 1940, as amended (the “1940 Act”), giving effect to Section 61(a)(2)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As to the facts upon which this opinion is based, we have relied, to the extent we deem proper, upon certificates of public officials (which we have assumed remain accurate as of the date of this opinion letter) and certificates and written statements of agents, officers, directors and representatives of the Company without having independently verified such factual matters.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subject to the assumptions, qualifications and limitations set forth in this letter, we are of the opinion that, when the New Notes are duly executed and delivered by duly authorized officers of the Company and duly authenticated by the Trustee, all in accordance with the provisions of the Indenture, and delivered to the Purchaser thereof against payment of the agreed consideration therefor, the New Notes will constitute valid and legally binding obligations of the Company, enforceable against the Company in accordance with their terms, except as such enforceability may be limited by applicable bankruptcy, insolvency, reorganization, receivership, moratorium, fraudulent conveyance, and other similar laws affecting the rights and remedies of creditors generally and by general principles of equity (including, without limitation, the availability of specific performance or injunctive relief and the application of concepts of materiality, reasonableness, good faith and fair dealing),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above is limited to the contract laws of the State of New York, as in effect on the date hereof, and we express no opinion with respect to any other laws of the State of New York or the laws of any other jurisdiction. Without limiting the preceding sentence, we express no opinion as to any state securities or broker-dealer laws or regulations thereunder relating to the offer, issuance or sale of the New Notes.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96"/>
        <w:gridCol w:w="123"/>
        <w:gridCol w:w="3083"/>
        <w:gridCol w:w="123"/>
        <w:gridCol w:w="3180"/>
      </w:tblGrid>
      <w:tr>
        <w:trPr/>
        <w:tc>
          <w:tcPr>
            <w:tcW w:w="369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left"/>
              <w:rPr>
                <w:sz w:val="4"/>
                <w:szCs w:val="4"/>
              </w:rPr>
            </w:pPr>
            <w:r>
              <w:rPr>
                <w:sz w:val="4"/>
                <w:szCs w:val="4"/>
              </w:rPr>
            </w:r>
          </w:p>
        </w:tc>
      </w:tr>
      <w:tr>
        <w:trPr/>
        <w:tc>
          <w:tcPr>
            <w:tcW w:w="3696" w:type="dxa"/>
            <w:tcBorders/>
          </w:tcPr>
          <w:p>
            <w:pPr>
              <w:pStyle w:val="TableContents"/>
              <w:bidi w:val="0"/>
              <w:spacing w:before="0" w:after="283"/>
              <w:jc w:val="left"/>
              <w:rPr/>
            </w:pPr>
            <w:r>
              <w:rPr/>
              <w:drawing>
                <wp:inline distT="0" distB="0" distL="0" distR="0">
                  <wp:extent cx="933450" cy="90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933450" cy="90487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3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September 3, 2026</w:t>
            </w:r>
          </w:p>
          <w:p>
            <w:pPr>
              <w:pStyle w:val="TableContents"/>
              <w:bidi w:val="0"/>
              <w:spacing w:before="0" w:after="20"/>
              <w:jc w:val="right"/>
              <w:rPr>
                <w:rFonts w:ascii="Times New Roman" w:hAnsi="Times New Roman"/>
                <w:sz w:val="20"/>
              </w:rPr>
            </w:pPr>
            <w:r>
              <w:rPr>
                <w:rFonts w:ascii="Times New Roman" w:hAnsi="Times New Roman"/>
                <w:sz w:val="20"/>
              </w:rPr>
              <w:t xml:space="preserve">Page 4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 expressed in this opinion letter is: (a) strictly limited to the matters stated in this opinion letter, and without limiting the foregoing, no other opinions are to be inferred and (b)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Company’s Current Report on Form 8-K to be filed with the Commission on the date hereof and to the reference to this firm under the caption “Legal Matters” in the Registration Statement and the Prospectus. In giving such consent, we do not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Dechert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Dechert LLP</w:t>
            </w:r>
          </w:p>
        </w:tc>
      </w:tr>
    </w:tbl>
    <w:p>
      <w:pPr>
        <w:pStyle w:val="TextBody"/>
        <w:bidi w:val="0"/>
        <w:spacing w:before="0" w:after="0"/>
        <w:jc w:val="right"/>
        <w:rPr>
          <w:rFonts w:ascii="Times New Roman" w:hAnsi="Times New Roman"/>
          <w:b/>
          <w:sz w:val="20"/>
        </w:rPr>
      </w:pPr>
      <w:bookmarkStart w:id="4" w:name="d158000dex101.htm"/>
      <w:bookmarkStart w:id="5" w:name="ksd158000dex101"/>
      <w:bookmarkEnd w:id="4"/>
      <w:bookmarkEnd w:id="5"/>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NOTE PURCHASE AGREEMENT </w:t>
      </w:r>
    </w:p>
    <w:p>
      <w:pPr>
        <w:pStyle w:val="TextBody"/>
        <w:bidi w:val="0"/>
        <w:spacing w:before="240" w:after="0"/>
        <w:jc w:val="left"/>
        <w:rPr>
          <w:rFonts w:ascii="Times New Roman" w:hAnsi="Times New Roman"/>
          <w:sz w:val="20"/>
        </w:rPr>
      </w:pPr>
      <w:r>
        <w:rPr>
          <w:rFonts w:ascii="Times New Roman" w:hAnsi="Times New Roman"/>
          <w:sz w:val="20"/>
        </w:rPr>
        <w:t>This NOTE PURCHASE AGREEMENT (this “</w:t>
      </w:r>
      <w:r>
        <w:rPr>
          <w:rFonts w:ascii="Times New Roman" w:hAnsi="Times New Roman"/>
          <w:sz w:val="20"/>
          <w:u w:val="single"/>
        </w:rPr>
        <w:t>Agreement</w:t>
      </w:r>
      <w:r>
        <w:rPr>
          <w:rFonts w:ascii="Times New Roman" w:hAnsi="Times New Roman"/>
          <w:sz w:val="20"/>
        </w:rPr>
        <w:t>”) is dated as of September 2, 2026, and is made by and among BCP Investment Corporation (f/k/a, Portman Ridge Finance Corporation), a Delaware corporation (“</w:t>
      </w:r>
      <w:r>
        <w:rPr>
          <w:rFonts w:ascii="Times New Roman" w:hAnsi="Times New Roman"/>
          <w:sz w:val="20"/>
          <w:u w:val="single"/>
        </w:rPr>
        <w:t>Company</w:t>
      </w:r>
      <w:r>
        <w:rPr>
          <w:rFonts w:ascii="Times New Roman" w:hAnsi="Times New Roman"/>
          <w:sz w:val="20"/>
        </w:rPr>
        <w:t>”), and the several purchasers of the Notes (as defined herein) (each a “</w:t>
      </w:r>
      <w:r>
        <w:rPr>
          <w:rFonts w:ascii="Times New Roman" w:hAnsi="Times New Roman"/>
          <w:sz w:val="20"/>
          <w:u w:val="single"/>
        </w:rPr>
        <w:t>Purchaser</w:t>
      </w:r>
      <w:r>
        <w:rPr>
          <w:rFonts w:ascii="Times New Roman" w:hAnsi="Times New Roman"/>
          <w:sz w:val="20"/>
        </w:rPr>
        <w:t>” and collectively, the “</w:t>
      </w:r>
      <w:r>
        <w:rPr>
          <w:rFonts w:ascii="Times New Roman" w:hAnsi="Times New Roman"/>
          <w:sz w:val="20"/>
          <w:u w:val="single"/>
        </w:rPr>
        <w:t>Purchasers</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subject to the terms and conditions set forth in this Agreement and pursuant to an effective registration statement under the Securities Act of 1933, as amended (the “</w:t>
      </w:r>
      <w:r>
        <w:rPr>
          <w:rFonts w:ascii="Times New Roman" w:hAnsi="Times New Roman"/>
          <w:sz w:val="20"/>
          <w:u w:val="single"/>
        </w:rPr>
        <w:t>Securities Act”)</w:t>
      </w:r>
      <w:r>
        <w:rPr>
          <w:rFonts w:ascii="Times New Roman" w:hAnsi="Times New Roman"/>
          <w:sz w:val="20"/>
        </w:rPr>
        <w:t>, the Company desires to issue, and each Purchaser, severally and not jointly, desires to purchase from the Company, $10.0 million in aggregate principal amount of 7.50% notes due 2029 (the “</w:t>
      </w:r>
      <w:r>
        <w:rPr>
          <w:rFonts w:ascii="Times New Roman" w:hAnsi="Times New Roman"/>
          <w:sz w:val="20"/>
          <w:u w:val="single"/>
        </w:rPr>
        <w:t>2029 Notes</w:t>
      </w:r>
      <w:r>
        <w:rPr>
          <w:rFonts w:ascii="Times New Roman" w:hAnsi="Times New Roman"/>
          <w:sz w:val="20"/>
        </w:rPr>
        <w:t>”), the amount set forth on each Purchaser’s signature page (the “</w:t>
      </w:r>
      <w:r>
        <w:rPr>
          <w:rFonts w:ascii="Times New Roman" w:hAnsi="Times New Roman"/>
          <w:sz w:val="20"/>
          <w:u w:val="single"/>
        </w:rPr>
        <w:t>Notes Amount</w:t>
      </w:r>
      <w:r>
        <w:rPr>
          <w:rFonts w:ascii="Times New Roman" w:hAnsi="Times New Roman"/>
          <w:sz w:val="20"/>
        </w:rPr>
        <w:t>”) upon the terms and conditions as more particularly provided herein. The 2029 Notes will constitute an issuance of “Additional Notes” under and as defined in the Indenture. Except as disclosed in the Prospectus, the 2029 Notes offered and sold by the Company pursuant to this Agreement will have identical terms to its existing 7.50% notes due 2029 (the “</w:t>
      </w:r>
      <w:r>
        <w:rPr>
          <w:rFonts w:ascii="Times New Roman" w:hAnsi="Times New Roman"/>
          <w:sz w:val="20"/>
          <w:u w:val="single"/>
        </w:rPr>
        <w:t>Existing Securities</w:t>
      </w:r>
      <w:r>
        <w:rPr>
          <w:rFonts w:ascii="Times New Roman" w:hAnsi="Times New Roman"/>
          <w:sz w:val="20"/>
        </w:rPr>
        <w:t xml:space="preserve">”), and the 2029 Notes and the Existing Securities will be treated as a single series of notes for all purposes under the Indenture.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Company has engaged Lucid Capital Markets, LLC (“</w:t>
      </w:r>
      <w:r>
        <w:rPr>
          <w:rFonts w:ascii="Times New Roman" w:hAnsi="Times New Roman"/>
          <w:sz w:val="20"/>
          <w:u w:val="single"/>
        </w:rPr>
        <w:t>Lucid</w:t>
      </w:r>
      <w:r>
        <w:rPr>
          <w:rFonts w:ascii="Times New Roman" w:hAnsi="Times New Roman"/>
          <w:sz w:val="20"/>
        </w:rPr>
        <w:t xml:space="preserve">”) as its financial advisor in connection with the offering of the Notes.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conditions and agreements herein contained and other good and valuable consideration, the receipt of which is hereby acknowledged, the parties hereto hereby agree as follows: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AGREEMENT </w:t>
      </w:r>
    </w:p>
    <w:p>
      <w:pPr>
        <w:pStyle w:val="TextBody"/>
        <w:bidi w:val="0"/>
        <w:spacing w:before="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DEFINITIONS.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Defined Terms</w:t>
      </w:r>
      <w:r>
        <w:rPr>
          <w:rFonts w:ascii="Times New Roman" w:hAnsi="Times New Roman"/>
          <w:sz w:val="20"/>
        </w:rPr>
        <w:t xml:space="preserve">. The following capitalized terms used in this Agreement have the meanings defined or referenced below. Certain other capitalized terms used only in specific sections of this Agreement may be defined in such sections. </w:t>
      </w:r>
    </w:p>
    <w:p>
      <w:pPr>
        <w:pStyle w:val="TextBody"/>
        <w:bidi w:val="0"/>
        <w:spacing w:before="240" w:after="0"/>
        <w:jc w:val="left"/>
        <w:rPr/>
      </w:pPr>
      <w:r>
        <w:rPr/>
        <w:t>“</w:t>
      </w:r>
      <w:r>
        <w:rPr>
          <w:rFonts w:ascii="Times New Roman" w:hAnsi="Times New Roman"/>
          <w:sz w:val="20"/>
          <w:u w:val="single"/>
        </w:rPr>
        <w:t>2032 Convertible Notes</w:t>
      </w:r>
      <w:r>
        <w:rPr>
          <w:rFonts w:ascii="Times New Roman" w:hAnsi="Times New Roman"/>
          <w:sz w:val="20"/>
        </w:rPr>
        <w:t xml:space="preserve">” has the meaning set forth in Section 4.1.2. </w:t>
      </w:r>
    </w:p>
    <w:p>
      <w:pPr>
        <w:pStyle w:val="TextBody"/>
        <w:bidi w:val="0"/>
        <w:spacing w:before="240" w:after="0"/>
        <w:jc w:val="left"/>
        <w:rPr/>
      </w:pPr>
      <w:r>
        <w:rPr/>
        <w:t>“</w:t>
      </w:r>
      <w:r>
        <w:rPr>
          <w:rFonts w:ascii="Times New Roman" w:hAnsi="Times New Roman"/>
          <w:sz w:val="20"/>
          <w:u w:val="single"/>
        </w:rPr>
        <w:t>Affiliate(s)</w:t>
      </w:r>
      <w:r>
        <w:rPr>
          <w:rFonts w:ascii="Times New Roman" w:hAnsi="Times New Roman"/>
          <w:sz w:val="20"/>
        </w:rPr>
        <w:t xml:space="preserve">” means, with respect to any Person, such Person’s members, partners, members or parent and subsidiary corporations, and any other Person directly or indirectly controlling, controlled by, or under direct or indirect common control with said Person and their respective Affiliates.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hereto. </w:t>
      </w:r>
    </w:p>
    <w:p>
      <w:pPr>
        <w:pStyle w:val="TextBody"/>
        <w:bidi w:val="0"/>
        <w:spacing w:before="240" w:after="0"/>
        <w:jc w:val="left"/>
        <w:rPr/>
      </w:pPr>
      <w:r>
        <w:rPr/>
        <w:t>“</w:t>
      </w:r>
      <w:r>
        <w:rPr>
          <w:rFonts w:ascii="Times New Roman" w:hAnsi="Times New Roman"/>
          <w:sz w:val="20"/>
          <w:u w:val="single"/>
        </w:rPr>
        <w:t>Applicable Procedures</w:t>
      </w:r>
      <w:r>
        <w:rPr>
          <w:rFonts w:ascii="Times New Roman" w:hAnsi="Times New Roman"/>
          <w:sz w:val="20"/>
        </w:rPr>
        <w:t xml:space="preserve">” means, with respect to any transfer or exchange of or for beneficial interests in any Note represented by a global certificate, the rules and procedures of DTC that apply to such transfer or exchange. </w:t>
      </w:r>
    </w:p>
    <w:p>
      <w:pPr>
        <w:pStyle w:val="TextBody"/>
        <w:bidi w:val="0"/>
        <w:spacing w:before="240" w:after="0"/>
        <w:jc w:val="left"/>
        <w:rPr/>
      </w:pPr>
      <w:r>
        <w:rPr/>
        <w:t>“</w:t>
      </w:r>
      <w:r>
        <w:rPr>
          <w:rFonts w:ascii="Times New Roman" w:hAnsi="Times New Roman"/>
          <w:sz w:val="20"/>
          <w:u w:val="single"/>
        </w:rPr>
        <w:t>Base Indenture</w:t>
      </w:r>
      <w:r>
        <w:rPr>
          <w:rFonts w:ascii="Times New Roman" w:hAnsi="Times New Roman"/>
          <w:sz w:val="20"/>
        </w:rPr>
        <w:t xml:space="preserve">” means the base indenture between Company and U.S. Bank Trust Company, National Association (as successor in interest to U.S. Bank National Association), as trustee, dated as of October 10, 2012. </w:t>
      </w:r>
    </w:p>
    <w:p>
      <w:pPr>
        <w:pStyle w:val="TextBody"/>
        <w:bidi w:val="0"/>
        <w:spacing w:before="240" w:after="0"/>
        <w:jc w:val="left"/>
        <w:rPr/>
      </w:pPr>
      <w:r>
        <w:rPr/>
        <w:t>“</w:t>
      </w:r>
      <w:r>
        <w:rPr>
          <w:rFonts w:ascii="Times New Roman" w:hAnsi="Times New Roman"/>
          <w:sz w:val="20"/>
          <w:u w:val="single"/>
        </w:rPr>
        <w:t>Base Prospectus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Sunday or any other day on which banking institutions in the State of New York are permitted or required by any applicable law or executive order to close. </w:t>
      </w:r>
    </w:p>
    <w:p>
      <w:pPr>
        <w:pStyle w:val="TextBody"/>
        <w:bidi w:val="0"/>
        <w:spacing w:before="240" w:after="0"/>
        <w:jc w:val="left"/>
        <w:rPr/>
      </w:pPr>
      <w:r>
        <w:rPr/>
        <w:t>“</w:t>
      </w:r>
      <w:r>
        <w:rPr>
          <w:rFonts w:ascii="Times New Roman" w:hAnsi="Times New Roman"/>
          <w:sz w:val="20"/>
          <w:u w:val="single"/>
        </w:rPr>
        <w:t>Bylaws</w:t>
      </w:r>
      <w:r>
        <w:rPr>
          <w:rFonts w:ascii="Times New Roman" w:hAnsi="Times New Roman"/>
          <w:sz w:val="20"/>
        </w:rPr>
        <w:t xml:space="preserve">” means the Fourth Amended and Restated Bylaws of Company, as in effect on the Closing Date. </w:t>
      </w:r>
    </w:p>
    <w:p>
      <w:pPr>
        <w:pStyle w:val="TextBody"/>
        <w:bidi w:val="0"/>
        <w:spacing w:before="240" w:after="0"/>
        <w:jc w:val="left"/>
        <w:rPr/>
      </w:pPr>
      <w:r>
        <w:rPr/>
        <w:t>“</w:t>
      </w:r>
      <w:r>
        <w:rPr>
          <w:rFonts w:ascii="Times New Roman" w:hAnsi="Times New Roman"/>
          <w:sz w:val="20"/>
          <w:u w:val="single"/>
        </w:rPr>
        <w:t>Certificate of Incorporation</w:t>
      </w:r>
      <w:r>
        <w:rPr>
          <w:rFonts w:ascii="Times New Roman" w:hAnsi="Times New Roman"/>
          <w:sz w:val="20"/>
        </w:rPr>
        <w:t xml:space="preserve">” means the Certificate of Incorporation of Company, as in effect on the Closing Date.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September 3, 2026.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hereto and shall include any successors to Company. </w:t>
      </w:r>
    </w:p>
    <w:p>
      <w:pPr>
        <w:pStyle w:val="TextBody"/>
        <w:bidi w:val="0"/>
        <w:spacing w:before="240" w:after="0"/>
        <w:jc w:val="left"/>
        <w:rPr/>
      </w:pPr>
      <w:r>
        <w:rPr/>
        <w:t>“</w:t>
      </w:r>
      <w:r>
        <w:rPr>
          <w:rFonts w:ascii="Times New Roman" w:hAnsi="Times New Roman"/>
          <w:sz w:val="20"/>
          <w:u w:val="single"/>
        </w:rPr>
        <w:t>Company’s Reports</w:t>
      </w:r>
      <w:r>
        <w:rPr>
          <w:rFonts w:ascii="Times New Roman" w:hAnsi="Times New Roman"/>
          <w:sz w:val="20"/>
        </w:rPr>
        <w:t xml:space="preserve">” means the Company’s annual, quarterly and other reports, schedules, forms, statements and other documents (including exhibits and other information incorporated therein) filed or furnished by the Company with the SEC under the Securities Act, Exchange Act, or the regulations thereunder, in each case since January 1, 2024. </w:t>
      </w:r>
    </w:p>
    <w:p>
      <w:pPr>
        <w:pStyle w:val="TextBody"/>
        <w:bidi w:val="0"/>
        <w:spacing w:before="240" w:after="0"/>
        <w:jc w:val="left"/>
        <w:rPr/>
      </w:pPr>
      <w:r>
        <w:rPr/>
        <w:t>“</w:t>
      </w:r>
      <w:r>
        <w:rPr>
          <w:rFonts w:ascii="Times New Roman" w:hAnsi="Times New Roman"/>
          <w:sz w:val="20"/>
          <w:u w:val="single"/>
        </w:rPr>
        <w:t>Disbursement</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has the meaning set forth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Interest</w:t>
      </w:r>
      <w:r>
        <w:rPr>
          <w:rFonts w:ascii="Times New Roman" w:hAnsi="Times New Roman"/>
          <w:sz w:val="20"/>
        </w:rPr>
        <w:t xml:space="preserve">” means any and all shares, interests, participations or other equivalents (however designated) of capital stock of a corporation, any and all equivalent ownership interests in a Person which is not a corporation, and any and all warrants, options or other rights to purchase any of the foregoing.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Existing Securities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effect from time to time in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Global Notes</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Governmental Agency(ies)</w:t>
      </w:r>
      <w:r>
        <w:rPr>
          <w:rFonts w:ascii="Times New Roman" w:hAnsi="Times New Roman"/>
          <w:sz w:val="20"/>
        </w:rPr>
        <w:t xml:space="preserve">” means, individually or collectively, any federal, state, county or local governmental department, commission, board, regulatory authority or agency (including the SEC) with jurisdiction over Company or a Subsidiary. </w:t>
      </w:r>
    </w:p>
    <w:p>
      <w:pPr>
        <w:pStyle w:val="TextBody"/>
        <w:bidi w:val="0"/>
        <w:spacing w:before="240" w:after="0"/>
        <w:jc w:val="left"/>
        <w:rPr/>
      </w:pPr>
      <w:r>
        <w:rPr/>
        <w:t>“</w:t>
      </w:r>
      <w:r>
        <w:rPr>
          <w:rFonts w:ascii="Times New Roman" w:hAnsi="Times New Roman"/>
          <w:sz w:val="20"/>
          <w:u w:val="single"/>
        </w:rPr>
        <w:t>Governmental Licenses</w:t>
      </w:r>
      <w:r>
        <w:rPr>
          <w:rFonts w:ascii="Times New Roman" w:hAnsi="Times New Roman"/>
          <w:sz w:val="20"/>
        </w:rPr>
        <w:t xml:space="preserve">” has the meaning set forth in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and includes: (i) all items arising from the borrowing of money that, according to GAAP as in effect from time to time, would be included in determining total liabilities as shown on the consolidated balance sheet of Company; and (ii) all obligations secured by any lien in property owned by Company or any Subsidiary whether or not such obligations shall have been assumed;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w:t>
      </w:r>
      <w:r>
        <w:rPr>
          <w:rFonts w:ascii="Times New Roman" w:hAnsi="Times New Roman"/>
          <w:sz w:val="20"/>
        </w:rPr>
        <w:t xml:space="preserve">r, Indebtedness shall not include other indebtedness created, incurred or maintained in the ordinary course of Company’s business and consistent with customary practices and applicable laws and regulations, including the Investment Company Act.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the Base Indenture, as supplemented by the Sixth Supplemental Indenture, as the same may be amended or supplemented from time to time in accordance with the terms thereof. </w:t>
      </w:r>
    </w:p>
    <w:p>
      <w:pPr>
        <w:pStyle w:val="TextBody"/>
        <w:bidi w:val="0"/>
        <w:spacing w:before="240" w:after="0"/>
        <w:jc w:val="left"/>
        <w:rPr/>
      </w:pPr>
      <w:r>
        <w:rPr/>
        <w:t>“</w:t>
      </w:r>
      <w:r>
        <w:rPr>
          <w:rFonts w:ascii="Times New Roman" w:hAnsi="Times New Roman"/>
          <w:sz w:val="20"/>
          <w:u w:val="single"/>
        </w:rPr>
        <w:t>Investment Company Act</w:t>
      </w:r>
      <w:r>
        <w:rPr>
          <w:rFonts w:ascii="Times New Roman" w:hAnsi="Times New Roman"/>
          <w:sz w:val="20"/>
        </w:rPr>
        <w:t xml:space="preserve">” means the Investment Company Act of 1940, as amended. </w:t>
      </w:r>
    </w:p>
    <w:p>
      <w:pPr>
        <w:pStyle w:val="TextBody"/>
        <w:bidi w:val="0"/>
        <w:spacing w:before="240" w:after="0"/>
        <w:jc w:val="left"/>
        <w:rPr/>
      </w:pPr>
      <w:r>
        <w:rPr/>
        <w:t>“</w:t>
      </w:r>
      <w:r>
        <w:rPr>
          <w:rFonts w:ascii="Times New Roman" w:hAnsi="Times New Roman"/>
          <w:sz w:val="20"/>
          <w:u w:val="single"/>
        </w:rPr>
        <w:t>LRFC Notes</w:t>
      </w:r>
      <w:r>
        <w:rPr>
          <w:rFonts w:ascii="Times New Roman" w:hAnsi="Times New Roman"/>
          <w:sz w:val="20"/>
        </w:rPr>
        <w:t xml:space="preserve">” means the 5.250% Notes due 2026 issued pursuant to the Fourth Supplemental Indenture, dated as of October 29, 2021, by and between Logan Ridge Finance Corporation (with the Company as successor) and the Trustee. </w:t>
      </w:r>
    </w:p>
    <w:p>
      <w:pPr>
        <w:pStyle w:val="TextBody"/>
        <w:bidi w:val="0"/>
        <w:spacing w:before="240" w:after="0"/>
        <w:jc w:val="left"/>
        <w:rPr/>
      </w:pPr>
      <w:r>
        <w:rPr/>
        <w:t>“</w:t>
      </w:r>
      <w:r>
        <w:rPr>
          <w:rFonts w:ascii="Times New Roman" w:hAnsi="Times New Roman"/>
          <w:sz w:val="20"/>
          <w:u w:val="single"/>
        </w:rPr>
        <w:t>Lucid</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with respect to any Person, any change or effect that (i) is or would be reasonably likely to be material and adverse to the financial condition, results of operations or business of such Person, or (ii) would materially impair the ability of such Person to perform its respective obligations under any of the Transaction Documents, or otherwise materially impede the consummation of the transactions contemplated 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“Material Adverse Effect” shall not be deemed to include the impact of (1) changes in laws, rules or regulations of general applicability or interpretations thereof, including the Investment Company Act and the rules and regulations thereunder, by Governmental Agencies, (2) changes in GAAP or regulatory accounting requirements applicable to investment companies generally, (3) changes after the date of this Agreement in general economic or capital market conditions affecting financial institutions or their market prices generally and not specifically related to Company or Purchasers, (4) direct effects of compliance with this Agreement on the operating performance of Company or Purchasers, including expenses incurred by Company or Purchasers in consummating the transactions contemplated by this Agreement, and (5) the effects of any action or omission taken by Company with the prior written consent of Purchasers, and vice versa, or as otherwise contemplated by this Agreement, the Indenture and the Notes.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means the 2029 Notes in the form attached as an exhibit to the Supplemental Indenture and each Note delivered in substitution or exchange for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Notes Amount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a corporation (whether or not for profit), a partnership, a limited liability company, a joint venture, an association, a trust, an unincorporated organization, a government or any department or agency thereof (including a Governmental Agency) or any other entity or organization. </w:t>
      </w:r>
    </w:p>
    <w:p>
      <w:pPr>
        <w:pStyle w:val="TextBody"/>
        <w:bidi w:val="0"/>
        <w:spacing w:before="240" w:after="0"/>
        <w:jc w:val="left"/>
        <w:rPr/>
      </w:pPr>
      <w:r>
        <w:rPr/>
        <w:t>“</w:t>
      </w:r>
      <w:r>
        <w:rPr>
          <w:rFonts w:ascii="Times New Roman" w:hAnsi="Times New Roman"/>
          <w:sz w:val="20"/>
          <w:u w:val="single"/>
        </w:rPr>
        <w:t>Prospectus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Prospectus Supplement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Purchaser(s)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Rating Agency</w:t>
      </w:r>
      <w:r>
        <w:rPr>
          <w:rFonts w:ascii="Times New Roman" w:hAnsi="Times New Roman"/>
          <w:sz w:val="20"/>
        </w:rPr>
        <w:t xml:space="preserve">” means a “nationally recognized statistical rating organization” (as defined in Section 3(a)(62) of the Exchange Act) whose ratings for senior indebtedness of issuers similar to the Company are authorized for use with, and recognized by the Securities Valuation Office of the National Association of Insurance Commissioners. </w:t>
      </w:r>
    </w:p>
    <w:p>
      <w:pPr>
        <w:pStyle w:val="TextBody"/>
        <w:bidi w:val="0"/>
        <w:spacing w:before="240" w:after="0"/>
        <w:jc w:val="left"/>
        <w:rPr/>
      </w:pPr>
      <w:r>
        <w:rPr/>
        <w:t>“</w:t>
      </w:r>
      <w:r>
        <w:rPr>
          <w:rFonts w:ascii="Times New Roman" w:hAnsi="Times New Roman"/>
          <w:sz w:val="20"/>
          <w:u w:val="single"/>
        </w:rPr>
        <w:t>Registration Statement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Sixth Supplemental Indenture</w:t>
      </w:r>
      <w:r>
        <w:rPr>
          <w:rFonts w:ascii="Times New Roman" w:hAnsi="Times New Roman"/>
          <w:sz w:val="20"/>
        </w:rPr>
        <w:t xml:space="preserve">” means the sixth supplemental indenture, dated as of March 24, 2026, by and between Company and U.S. Bank Trust Company, National Association (as successor in interest to U.S. Bank National Association), as trustee, substantially in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or entity in which a majority of the outstanding Equity Interest is directly or indirectly owned by such Person.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has the meaning set forth in </w:t>
      </w:r>
      <w:r>
        <w:rPr>
          <w:rFonts w:ascii="Times New Roman" w:hAnsi="Times New Roman"/>
          <w:sz w:val="20"/>
          <w:u w:val="single"/>
        </w:rPr>
        <w:t>Section 3.2.1.1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Trustee</w:t>
      </w:r>
      <w:r>
        <w:rPr>
          <w:rFonts w:ascii="Times New Roman" w:hAnsi="Times New Roman"/>
          <w:sz w:val="20"/>
        </w:rPr>
        <w:t xml:space="preserve">” means the trustee or successor in accordance with the applicable provisions of the Indenture.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Interpretations</w:t>
      </w:r>
      <w:r>
        <w:rPr>
          <w:rFonts w:ascii="Times New Roman" w:hAnsi="Times New Roman"/>
          <w:sz w:val="20"/>
        </w:rPr>
        <w:t xml:space="preserve">. The foregoing definitions are equally applicable to both the singular and plural forms of the terms defined. The words “hereof”, “herein” and “hereunder” and words of like import when used in this Agreement shall refer to this Agreement as a whole and not to any particular provision of this Agreement. The word “including” when used in this Agreement without the phrase “without limitation,” shall mean “including, without limitation.” All references to time of day herein are references to Eastern Time unless otherwise specifically provided. All references to this Agreement, the Notes and the Indenture shall be deemed to be to such documents as amended, modified or restated from time to time. With respect to any reference in this Agreement to any defined term, (i) if such defined term refers to a Person, then it shall also mean all heirs, legal representatives and permitted successors and assigns of such Person, and (ii) if such defined term refers to a document, instrument or agreement, then it shall also include any amendment, replacement, extension or other modification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Exhibits Incorporated</w:t>
      </w:r>
      <w:r>
        <w:rPr>
          <w:rFonts w:ascii="Times New Roman" w:hAnsi="Times New Roman"/>
          <w:sz w:val="20"/>
        </w:rPr>
        <w:t xml:space="preserve">. All Exhibits attached are hereby incorporated into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DEBT.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 xml:space="preserve">Certain Terms. </w:t>
      </w:r>
      <w:r>
        <w:rPr>
          <w:rFonts w:ascii="Times New Roman" w:hAnsi="Times New Roman"/>
          <w:sz w:val="20"/>
        </w:rPr>
        <w:t xml:space="preserve">The offering and sale of the Notes hereunder are being made pursuant to an effective Registration Statement on Form N-2 (File No. 333-283443), filed with the SEC on February 5, 2025, and declared effective on February 10, 2025 (the “Registration Statement”), and the Prospectus therein, dated February 5, 2025, including all documents incorporated by reference therein (the “Base Prospectus”), as supplemented by the Prospectus Supplement, dated the date hereof (the “Prospectus Supplement”, together with the Base Prospectus, the “Prospectus”), that will be filed with the Commission on the date hereof. The Company proposes to issue and sell to the Purchasers, severally and not jointly, Notes, which will be issued pursuant to the Indenture, in an aggregate principal amount equal to the aggregate of the Notes Amount. Purchasers, severally and not jointly, each agree to purchase the Notes, which will be issued pursuant to the Indenture, from Company on the Closing Date, in accordance with the terms of, and subject to the conditions and provisions set forth in, this Agreement, the Indenture and the Notes. The Notes Amount shall be disbursed in accordance with Section 3.1.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The Closing</w:t>
      </w:r>
      <w:r>
        <w:rPr>
          <w:rFonts w:ascii="Times New Roman" w:hAnsi="Times New Roman"/>
          <w:sz w:val="20"/>
        </w:rPr>
        <w:t>. The execution and delivery of the Transaction Documents (the “</w:t>
      </w:r>
      <w:r>
        <w:rPr>
          <w:rFonts w:ascii="Times New Roman" w:hAnsi="Times New Roman"/>
          <w:sz w:val="20"/>
          <w:u w:val="single"/>
        </w:rPr>
        <w:t>Closing</w:t>
      </w:r>
      <w:r>
        <w:rPr>
          <w:rFonts w:ascii="Times New Roman" w:hAnsi="Times New Roman"/>
          <w:sz w:val="20"/>
        </w:rPr>
        <w:t xml:space="preserve">”) shall occur at the offices of Company at 10:00 a.m. (local time) on the Closing Date, or at such other place or time or on such other date as the parties hereto may agree.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Use of Proceeds</w:t>
      </w:r>
      <w:r>
        <w:rPr>
          <w:rFonts w:ascii="Times New Roman" w:hAnsi="Times New Roman"/>
          <w:b/>
          <w:sz w:val="20"/>
        </w:rPr>
        <w:t xml:space="preserve">. </w:t>
      </w:r>
      <w:r>
        <w:rPr>
          <w:rFonts w:ascii="Times New Roman" w:hAnsi="Times New Roman"/>
          <w:sz w:val="20"/>
        </w:rPr>
        <w:t>Company shall use all of the net proceeds from the sale of Notes to repay $10,000,000 of the aggregate principal amount of its 5.250% Notes due 2026 (the “</w:t>
      </w:r>
      <w:r>
        <w:rPr>
          <w:rFonts w:ascii="Times New Roman" w:hAnsi="Times New Roman"/>
          <w:sz w:val="20"/>
          <w:u w:val="single"/>
        </w:rPr>
        <w:t>LRFC Notes</w:t>
      </w:r>
      <w:r>
        <w:rPr>
          <w:rFonts w:ascii="Times New Roman" w:hAnsi="Times New Roman"/>
          <w:sz w:val="20"/>
        </w:rPr>
        <w:t xml:space="preserve">”) and the remaining net proceeds, if any, to repay other indebtedness. Within 10 days following the Closing Date, the Company shall issue a notice of redemption of at least $10,000,000 in aggregate principal amount of the LRFC Notes under the indenture governing the LRFC Notes, which notice shall provide for a redemption of the LRFC Notes on the earliest date permitted under such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3. </w:t>
      </w:r>
      <w:r>
        <w:rPr>
          <w:rFonts w:ascii="Times New Roman" w:hAnsi="Times New Roman"/>
          <w:b/>
          <w:sz w:val="20"/>
          <w:u w:val="single"/>
        </w:rPr>
        <w:t>DISBURSEMENT.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Disbursement</w:t>
      </w:r>
      <w:r>
        <w:rPr>
          <w:rFonts w:ascii="Times New Roman" w:hAnsi="Times New Roman"/>
          <w:sz w:val="20"/>
        </w:rPr>
        <w:t xml:space="preserve">. On the Closing Date, assuming all of the terms and conditions set forth in </w:t>
      </w:r>
      <w:r>
        <w:rPr>
          <w:rFonts w:ascii="Times New Roman" w:hAnsi="Times New Roman"/>
          <w:sz w:val="20"/>
          <w:u w:val="single"/>
        </w:rPr>
        <w:t>Section 3.2</w:t>
      </w:r>
      <w:r>
        <w:rPr>
          <w:rFonts w:ascii="Times New Roman" w:hAnsi="Times New Roman"/>
          <w:sz w:val="20"/>
        </w:rPr>
        <w:t xml:space="preserve"> have been satisfied by Company and Company has executed and delivered to each of the Purchasers this Agreement and any other related documents in form and substance reasonably satisfactory to Purchasers, each Purchaser shall disburse in immediately available funds 100.00% of the Notes Amount, set forth on such Purchaser’s signature page to Company in exchange for an electronic securities entitlement through the facilities of DTC (defined below) in accordance with the Applicable Procedures in the Note with a principal amount equal to such Note Amount (the “</w:t>
      </w:r>
      <w:r>
        <w:rPr>
          <w:rFonts w:ascii="Times New Roman" w:hAnsi="Times New Roman"/>
          <w:sz w:val="20"/>
          <w:u w:val="single"/>
        </w:rPr>
        <w:t>Disbursement</w:t>
      </w:r>
      <w:r>
        <w:rPr>
          <w:rFonts w:ascii="Times New Roman" w:hAnsi="Times New Roman"/>
          <w:sz w:val="20"/>
        </w:rPr>
        <w:t>”) plus accrued interest thereon from April 30, 2026, but not including, the Closing Date. Company will deliver to the Trustee a global certificate representing the 2029 Notes issued to each Purchaser (each, a “</w:t>
      </w:r>
      <w:r>
        <w:rPr>
          <w:rFonts w:ascii="Times New Roman" w:hAnsi="Times New Roman"/>
          <w:sz w:val="20"/>
          <w:u w:val="single"/>
        </w:rPr>
        <w:t>Global Note</w:t>
      </w:r>
      <w:r>
        <w:rPr>
          <w:rFonts w:ascii="Times New Roman" w:hAnsi="Times New Roman"/>
          <w:sz w:val="20"/>
        </w:rPr>
        <w:t>” and, collectively, the “</w:t>
      </w:r>
      <w:r>
        <w:rPr>
          <w:rFonts w:ascii="Times New Roman" w:hAnsi="Times New Roman"/>
          <w:sz w:val="20"/>
          <w:u w:val="single"/>
        </w:rPr>
        <w:t>Global Notes</w:t>
      </w:r>
      <w:r>
        <w:rPr>
          <w:rFonts w:ascii="Times New Roman" w:hAnsi="Times New Roman"/>
          <w:sz w:val="20"/>
        </w:rPr>
        <w:t xml:space="preserve">”) registered in the name of Cede &amp; Co., as nominee for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3.2. </w:t>
      </w:r>
      <w:r>
        <w:rPr>
          <w:rFonts w:ascii="Times New Roman" w:hAnsi="Times New Roman"/>
          <w:b/>
          <w:sz w:val="20"/>
          <w:u w:val="single"/>
        </w:rPr>
        <w:t>Conditions Precedent to Disbursement.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3.2.1.</w:t>
      </w:r>
      <w:r>
        <w:rPr>
          <w:rFonts w:ascii="Times New Roman" w:hAnsi="Times New Roman"/>
          <w:sz w:val="20"/>
        </w:rPr>
        <w:t xml:space="preserve"> </w:t>
      </w:r>
      <w:r>
        <w:rPr>
          <w:rFonts w:ascii="Times New Roman" w:hAnsi="Times New Roman"/>
          <w:b/>
          <w:sz w:val="20"/>
          <w:u w:val="single"/>
        </w:rPr>
        <w:t>Conditions to the Purchasers</w:t>
      </w:r>
      <w:r>
        <w:rPr>
          <w:rFonts w:ascii="Times New Roman" w:hAnsi="Times New Roman"/>
          <w:sz w:val="20"/>
          <w:u w:val="single"/>
        </w:rPr>
        <w:t xml:space="preserve">’ </w:t>
      </w:r>
      <w:r>
        <w:rPr>
          <w:rFonts w:ascii="Times New Roman" w:hAnsi="Times New Roman"/>
          <w:b/>
          <w:sz w:val="20"/>
          <w:u w:val="single"/>
        </w:rPr>
        <w:t>Obligation</w:t>
      </w:r>
      <w:r>
        <w:rPr>
          <w:rFonts w:ascii="Times New Roman" w:hAnsi="Times New Roman"/>
          <w:sz w:val="20"/>
        </w:rPr>
        <w:t xml:space="preserve">. The obligation of each Purchaser to consummate the purchase of the Notes to be purchased by such Purchaser at Closing and to effect the Disbursement is subject to delivery by or at the direction of Company to such Purchaser (or, with respect to the Indenture, the Trustee) each of the following (or written waiver by such Purchaser prior to the Closing of such delivery): </w:t>
      </w:r>
    </w:p>
    <w:p>
      <w:pPr>
        <w:pStyle w:val="TextBody"/>
        <w:bidi w:val="0"/>
        <w:spacing w:before="240" w:after="0"/>
        <w:jc w:val="left"/>
        <w:rPr>
          <w:rFonts w:ascii="Times New Roman" w:hAnsi="Times New Roman"/>
          <w:sz w:val="20"/>
        </w:rPr>
      </w:pPr>
      <w:r>
        <w:rPr>
          <w:rFonts w:ascii="Times New Roman" w:hAnsi="Times New Roman"/>
          <w:b/>
          <w:sz w:val="20"/>
        </w:rPr>
        <w:t>3.2.1.1.</w:t>
      </w:r>
      <w:r>
        <w:rPr>
          <w:rFonts w:ascii="Times New Roman" w:hAnsi="Times New Roman"/>
          <w:sz w:val="20"/>
        </w:rPr>
        <w:t xml:space="preserve"> </w:t>
      </w:r>
      <w:r>
        <w:rPr>
          <w:rFonts w:ascii="Times New Roman" w:hAnsi="Times New Roman"/>
          <w:b/>
          <w:sz w:val="20"/>
          <w:u w:val="single"/>
        </w:rPr>
        <w:t>Transaction Documents</w:t>
      </w:r>
      <w:r>
        <w:rPr>
          <w:rFonts w:ascii="Times New Roman" w:hAnsi="Times New Roman"/>
          <w:sz w:val="20"/>
        </w:rPr>
        <w:t>. This Agreement, the Indenture and the Global Notes (collectively, the “</w:t>
      </w:r>
      <w:r>
        <w:rPr>
          <w:rFonts w:ascii="Times New Roman" w:hAnsi="Times New Roman"/>
          <w:sz w:val="20"/>
          <w:u w:val="single"/>
        </w:rPr>
        <w:t>Transaction</w:t>
      </w:r>
      <w:r>
        <w:rPr>
          <w:rFonts w:ascii="Times New Roman" w:hAnsi="Times New Roman"/>
          <w:sz w:val="20"/>
        </w:rPr>
        <w:t xml:space="preserve"> </w:t>
      </w:r>
      <w:r>
        <w:rPr>
          <w:rFonts w:ascii="Times New Roman" w:hAnsi="Times New Roman"/>
          <w:sz w:val="20"/>
          <w:u w:val="single"/>
        </w:rPr>
        <w:t>Documents</w:t>
      </w:r>
      <w:r>
        <w:rPr>
          <w:rFonts w:ascii="Times New Roman" w:hAnsi="Times New Roman"/>
          <w:sz w:val="20"/>
        </w:rPr>
        <w:t xml:space="preserve">”), each duly authorized and executed by Company, and delivery of written instruction to the Trustee (with respect to the Indenture), and the filing of the Prospectus Supplement with the SEC. </w:t>
      </w:r>
    </w:p>
    <w:p>
      <w:pPr>
        <w:pStyle w:val="TextBody"/>
        <w:bidi w:val="0"/>
        <w:spacing w:before="240" w:after="0"/>
        <w:jc w:val="left"/>
        <w:rPr>
          <w:rFonts w:ascii="Times New Roman" w:hAnsi="Times New Roman"/>
          <w:sz w:val="20"/>
        </w:rPr>
      </w:pPr>
      <w:r>
        <w:rPr>
          <w:rFonts w:ascii="Times New Roman" w:hAnsi="Times New Roman"/>
          <w:b/>
          <w:sz w:val="20"/>
        </w:rPr>
        <w:t>3.2.1.2.</w:t>
      </w:r>
      <w:r>
        <w:rPr>
          <w:rFonts w:ascii="Times New Roman" w:hAnsi="Times New Roman"/>
          <w:sz w:val="20"/>
        </w:rPr>
        <w:t xml:space="preserve"> </w:t>
      </w:r>
      <w:r>
        <w:rPr>
          <w:rFonts w:ascii="Times New Roman" w:hAnsi="Times New Roman"/>
          <w:b/>
          <w:sz w:val="20"/>
          <w:u w:val="single"/>
        </w:rPr>
        <w:t>Authority</w:t>
      </w:r>
      <w:r>
        <w:rPr>
          <w:rFonts w:ascii="Times New Roman" w:hAnsi="Times New Roman"/>
          <w:sz w:val="20"/>
          <w:u w:val="single"/>
        </w:rPr>
        <w:t xml:space="preserve"> </w:t>
      </w:r>
      <w:r>
        <w:rPr>
          <w:rFonts w:ascii="Times New Roman" w:hAnsi="Times New Roman"/>
          <w:b/>
          <w:sz w:val="20"/>
          <w:u w:val="single"/>
        </w:rPr>
        <w:t>Documents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2"/>
        <w:gridCol w:w="7962"/>
      </w:tblGrid>
      <w:tr>
        <w:trPr/>
        <w:tc>
          <w:tcPr>
            <w:tcW w:w="1631"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certified by the Secretary of Company, of the Certificate of Incorporation of Company,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3"/>
        <w:gridCol w:w="7961"/>
      </w:tblGrid>
      <w:tr>
        <w:trPr/>
        <w:tc>
          <w:tcPr>
            <w:tcW w:w="1631"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good standing of Company issued by the Secretary of State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3"/>
        <w:gridCol w:w="610"/>
        <w:gridCol w:w="7962"/>
      </w:tblGrid>
      <w:tr>
        <w:trPr/>
        <w:tc>
          <w:tcPr>
            <w:tcW w:w="1633"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certified by the Secretary of Company, of the Bylaws, as amended, of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1"/>
        <w:gridCol w:w="7963"/>
      </w:tblGrid>
      <w:tr>
        <w:trPr/>
        <w:tc>
          <w:tcPr>
            <w:tcW w:w="1631"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certified by the Secretary of Company, of the resolutions of the board of directors (and any committee thereof) of Company authorizing the execution, delivery and performance of the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3"/>
        <w:gridCol w:w="610"/>
        <w:gridCol w:w="7962"/>
      </w:tblGrid>
      <w:tr>
        <w:trPr/>
        <w:tc>
          <w:tcPr>
            <w:tcW w:w="1633"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(e)</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incumbency certificate of the Secretary of Company certifying the names of the officer or officers of Company authorized to sign the Transaction Documents and the other documents provided for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0"/>
        <w:gridCol w:w="7964"/>
      </w:tblGrid>
      <w:tr>
        <w:trPr/>
        <w:tc>
          <w:tcPr>
            <w:tcW w:w="1631"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79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a responsible officer of Company certifying that the representations and warranties of the Company in this Agreement shall be correct as of the date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2"/>
        <w:gridCol w:w="7962"/>
      </w:tblGrid>
      <w:tr>
        <w:trPr/>
        <w:tc>
          <w:tcPr>
            <w:tcW w:w="1631"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(g)</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 of Dechert LLP, counsel to Company, dated as of the Closing Date, substantially in the form set forth at </w:t>
            </w:r>
            <w:r>
              <w:rPr>
                <w:rFonts w:ascii="Times New Roman" w:hAnsi="Times New Roman"/>
                <w:sz w:val="20"/>
                <w:u w:val="single"/>
              </w:rPr>
              <w:t>Exhibit C</w:t>
            </w:r>
            <w:r>
              <w:rPr>
                <w:rFonts w:ascii="Times New Roman" w:hAnsi="Times New Roman"/>
                <w:sz w:val="20"/>
              </w:rPr>
              <w:t xml:space="preserve"> attached hereto addressed to the Purchasers;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1"/>
        <w:gridCol w:w="7963"/>
      </w:tblGrid>
      <w:tr>
        <w:trPr/>
        <w:tc>
          <w:tcPr>
            <w:tcW w:w="1631"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Notes shall have received a rating from a credit rating agency currently registered as a “nationally recognized statistical rating organization” (as defined in Section 3(a)(62) of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3.2.1.3.</w:t>
      </w:r>
      <w:r>
        <w:rPr>
          <w:rFonts w:ascii="Times New Roman" w:hAnsi="Times New Roman"/>
          <w:sz w:val="20"/>
        </w:rPr>
        <w:t xml:space="preserve"> </w:t>
      </w:r>
      <w:r>
        <w:rPr>
          <w:rFonts w:ascii="Times New Roman" w:hAnsi="Times New Roman"/>
          <w:b/>
          <w:sz w:val="20"/>
          <w:u w:val="single"/>
        </w:rPr>
        <w:t>Other Requirements</w:t>
      </w:r>
      <w:r>
        <w:rPr>
          <w:rFonts w:ascii="Times New Roman" w:hAnsi="Times New Roman"/>
          <w:sz w:val="20"/>
        </w:rPr>
        <w:t xml:space="preserve">. Such other certificates, affidavits, schedules, resolutions, notes and/or other documents which are provided for hereunder or as a Purchaser may reasonably request. </w:t>
      </w:r>
    </w:p>
    <w:p>
      <w:pPr>
        <w:pStyle w:val="TextBody"/>
        <w:bidi w:val="0"/>
        <w:spacing w:before="240" w:after="0"/>
        <w:jc w:val="left"/>
        <w:rPr>
          <w:rFonts w:ascii="Times New Roman" w:hAnsi="Times New Roman"/>
          <w:sz w:val="20"/>
        </w:rPr>
      </w:pPr>
      <w:r>
        <w:rPr>
          <w:rFonts w:ascii="Times New Roman" w:hAnsi="Times New Roman"/>
          <w:b/>
          <w:sz w:val="20"/>
        </w:rPr>
        <w:t>3.2.2.</w:t>
      </w:r>
      <w:r>
        <w:rPr>
          <w:rFonts w:ascii="Times New Roman" w:hAnsi="Times New Roman"/>
          <w:sz w:val="20"/>
        </w:rPr>
        <w:t xml:space="preserve"> </w:t>
      </w:r>
      <w:r>
        <w:rPr>
          <w:rFonts w:ascii="Times New Roman" w:hAnsi="Times New Roman"/>
          <w:b/>
          <w:sz w:val="20"/>
          <w:u w:val="single"/>
        </w:rPr>
        <w:t>Conditions</w:t>
      </w:r>
      <w:r>
        <w:rPr>
          <w:rFonts w:ascii="Times New Roman" w:hAnsi="Times New Roman"/>
          <w:sz w:val="20"/>
          <w:u w:val="single"/>
        </w:rPr>
        <w:t xml:space="preserve"> </w:t>
      </w:r>
      <w:r>
        <w:rPr>
          <w:rFonts w:ascii="Times New Roman" w:hAnsi="Times New Roman"/>
          <w:b/>
          <w:sz w:val="20"/>
          <w:u w:val="single"/>
        </w:rPr>
        <w:t>to</w:t>
      </w:r>
      <w:r>
        <w:rPr>
          <w:rFonts w:ascii="Times New Roman" w:hAnsi="Times New Roman"/>
          <w:sz w:val="20"/>
          <w:u w:val="single"/>
        </w:rPr>
        <w:t xml:space="preserve"> </w:t>
      </w:r>
      <w:r>
        <w:rPr>
          <w:rFonts w:ascii="Times New Roman" w:hAnsi="Times New Roman"/>
          <w:b/>
          <w:sz w:val="20"/>
          <w:u w:val="single"/>
        </w:rPr>
        <w:t>Company</w:t>
      </w:r>
      <w:r>
        <w:rPr>
          <w:rFonts w:ascii="Times New Roman" w:hAnsi="Times New Roman"/>
          <w:sz w:val="20"/>
          <w:u w:val="single"/>
        </w:rPr>
        <w:t>’</w:t>
      </w:r>
      <w:r>
        <w:rPr>
          <w:rFonts w:ascii="Times New Roman" w:hAnsi="Times New Roman"/>
          <w:b/>
          <w:sz w:val="20"/>
          <w:u w:val="single"/>
        </w:rPr>
        <w:t>s</w:t>
      </w:r>
      <w:r>
        <w:rPr>
          <w:rFonts w:ascii="Times New Roman" w:hAnsi="Times New Roman"/>
          <w:sz w:val="20"/>
          <w:u w:val="single"/>
        </w:rPr>
        <w:t xml:space="preserve"> </w:t>
      </w:r>
      <w:r>
        <w:rPr>
          <w:rFonts w:ascii="Times New Roman" w:hAnsi="Times New Roman"/>
          <w:b/>
          <w:sz w:val="20"/>
          <w:u w:val="single"/>
        </w:rPr>
        <w:t>Obligation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3.2.2.1.</w:t>
      </w:r>
      <w:r>
        <w:rPr>
          <w:rFonts w:ascii="Times New Roman" w:hAnsi="Times New Roman"/>
          <w:sz w:val="20"/>
        </w:rPr>
        <w:t xml:space="preserve"> The obligation of Company to consummate the sale of the Notes and to effect the Closing is subject to: (i) with respect to a given Purchaser, delivery by or at the direction of such Purchaser to Company (or written waiver by Company prior to the Closing of such delivery) of this Agreement as duly authorized and executed by such Purchaser; (ii) with respect to a given Purchaser, Company’s receipt of 100.00% of the Notes Amount set forth on such Purchaser’s signature page plus accrued interest thereon from April 30, 2026, but not including, the Closing Date.; and (iii) Company’s receipt of the Indenture, duly authorized and executed by 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4. </w:t>
      </w:r>
      <w:r>
        <w:rPr>
          <w:rFonts w:ascii="Times New Roman" w:hAnsi="Times New Roman"/>
          <w:b/>
          <w:sz w:val="20"/>
          <w:u w:val="single"/>
        </w:rPr>
        <w:t>REPRESENTATIONS AND WARRANTIES OF COMPANY.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Company hereby represents and warrants to each Purchaser as of the date hereof and as of the Closing as follows: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Organization</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4.1.1.</w:t>
      </w:r>
      <w:r>
        <w:rPr>
          <w:rFonts w:ascii="Times New Roman" w:hAnsi="Times New Roman"/>
          <w:sz w:val="20"/>
        </w:rPr>
        <w:t xml:space="preserve"> </w:t>
      </w:r>
      <w:r>
        <w:rPr>
          <w:rFonts w:ascii="Times New Roman" w:hAnsi="Times New Roman"/>
          <w:b/>
          <w:sz w:val="20"/>
          <w:u w:val="single"/>
        </w:rPr>
        <w:t>Organization Matters of Company and Its Subsidiaries</w:t>
      </w:r>
      <w:r>
        <w:rPr>
          <w:rFonts w:ascii="Times New Roman" w:hAnsi="Times New Roman"/>
          <w:sz w:val="20"/>
        </w:rPr>
        <w:t xml:space="preserve">. Company is validly existing and in good standing under the laws of the State of Delaware and has all requisite corporate power and authority to conduct its business and activities as presently conducted, to own its properties, and to perform its obligations as described in the Registration Statement and under Transaction Documents.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4.1.2.</w:t>
      </w:r>
      <w:r>
        <w:rPr>
          <w:rFonts w:ascii="Times New Roman" w:hAnsi="Times New Roman"/>
          <w:sz w:val="20"/>
        </w:rPr>
        <w:t xml:space="preserve"> </w:t>
      </w:r>
      <w:r>
        <w:rPr>
          <w:rFonts w:ascii="Times New Roman" w:hAnsi="Times New Roman"/>
          <w:b/>
          <w:sz w:val="20"/>
          <w:u w:val="single"/>
        </w:rPr>
        <w:t>Capital Stock and Related Matters</w:t>
      </w:r>
      <w:r>
        <w:rPr>
          <w:rFonts w:ascii="Times New Roman" w:hAnsi="Times New Roman"/>
          <w:sz w:val="20"/>
        </w:rPr>
        <w:t>. All of the outstanding capital stock of the Company has been duly authorized and validly issued and is fully paid and nonassessable. Except as disclosed in the Company’s Reports with respect to the Company’s 5.25% fixed-rate convertible notes due April 1, 2032 (the “</w:t>
      </w:r>
      <w:r>
        <w:rPr>
          <w:rFonts w:ascii="Times New Roman" w:hAnsi="Times New Roman"/>
          <w:sz w:val="20"/>
          <w:u w:val="single"/>
        </w:rPr>
        <w:t>2032 Convertible Notes</w:t>
      </w:r>
      <w:r>
        <w:rPr>
          <w:rFonts w:ascii="Times New Roman" w:hAnsi="Times New Roman"/>
          <w:sz w:val="20"/>
        </w:rPr>
        <w:t xml:space="preserve">”), there are, as of the date hereof, no outstanding options, rights, warrants or other agreements or instruments obligating Company to issue, deliver or sell, or cause to be issued, delivered or sold, additional shares of the capital stock of Company or obligating Company to grant, extend or enter into any such agreement or commitment to any Person.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No</w:t>
      </w:r>
      <w:r>
        <w:rPr>
          <w:rFonts w:ascii="Times New Roman" w:hAnsi="Times New Roman"/>
          <w:sz w:val="20"/>
          <w:u w:val="single"/>
        </w:rPr>
        <w:t xml:space="preserve"> </w:t>
      </w:r>
      <w:r>
        <w:rPr>
          <w:rFonts w:ascii="Times New Roman" w:hAnsi="Times New Roman"/>
          <w:b/>
          <w:sz w:val="20"/>
          <w:u w:val="single"/>
        </w:rPr>
        <w:t>Impediment</w:t>
      </w:r>
      <w:r>
        <w:rPr>
          <w:rFonts w:ascii="Times New Roman" w:hAnsi="Times New Roman"/>
          <w:sz w:val="20"/>
          <w:u w:val="single"/>
        </w:rPr>
        <w:t xml:space="preserve"> </w:t>
      </w:r>
      <w:r>
        <w:rPr>
          <w:rFonts w:ascii="Times New Roman" w:hAnsi="Times New Roman"/>
          <w:b/>
          <w:sz w:val="20"/>
          <w:u w:val="single"/>
        </w:rPr>
        <w:t>to</w:t>
      </w:r>
      <w:r>
        <w:rPr>
          <w:rFonts w:ascii="Times New Roman" w:hAnsi="Times New Roman"/>
          <w:sz w:val="20"/>
          <w:u w:val="single"/>
        </w:rPr>
        <w:t xml:space="preserve"> </w:t>
      </w:r>
      <w:r>
        <w:rPr>
          <w:rFonts w:ascii="Times New Roman" w:hAnsi="Times New Roman"/>
          <w:b/>
          <w:sz w:val="20"/>
          <w:u w:val="single"/>
        </w:rPr>
        <w:t>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4.2.1.</w:t>
      </w:r>
      <w:r>
        <w:rPr>
          <w:rFonts w:ascii="Times New Roman" w:hAnsi="Times New Roman"/>
          <w:sz w:val="20"/>
        </w:rPr>
        <w:t xml:space="preserve"> </w:t>
      </w:r>
      <w:r>
        <w:rPr>
          <w:rFonts w:ascii="Times New Roman" w:hAnsi="Times New Roman"/>
          <w:b/>
          <w:sz w:val="20"/>
          <w:u w:val="single"/>
        </w:rPr>
        <w:t>Transaction is Legal and Authorized</w:t>
      </w:r>
      <w:r>
        <w:rPr>
          <w:rFonts w:ascii="Times New Roman" w:hAnsi="Times New Roman"/>
          <w:sz w:val="20"/>
        </w:rPr>
        <w:t xml:space="preserve">. The issuance of the Notes pursuant to the Indenture, the borrowing of the aggregate of the Notes Amount, the execution of the Transaction Documents and compliance by Company with all of the provisions of the Transaction Documents are within the corporate and other powers of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4.2.2.</w:t>
      </w:r>
      <w:r>
        <w:rPr>
          <w:rFonts w:ascii="Times New Roman" w:hAnsi="Times New Roman"/>
          <w:sz w:val="20"/>
        </w:rPr>
        <w:t xml:space="preserve"> </w:t>
      </w:r>
      <w:r>
        <w:rPr>
          <w:rFonts w:ascii="Times New Roman" w:hAnsi="Times New Roman"/>
          <w:b/>
          <w:sz w:val="20"/>
          <w:u w:val="single"/>
        </w:rPr>
        <w:t>Agreement and Indenture</w:t>
      </w:r>
      <w:r>
        <w:rPr>
          <w:rFonts w:ascii="Times New Roman" w:hAnsi="Times New Roman"/>
          <w:sz w:val="20"/>
        </w:rPr>
        <w:t xml:space="preserve">. This Agreement and the Indenture have been duly authorized, executed and delivered by Company, and, assuming due authorization, execution and delivery by the other parties thereto, including the Trustee for purposes of the Indenture, are the legal, valid and binding obligations of Company, enforceable in accordance with their terms, except as enforcement thereof may be limited by bankruptcy, insolvency, reorganization, moratorium or other similar laws relating to or affecting creditors’ rights generally or by general equitable principles. </w:t>
      </w:r>
    </w:p>
    <w:p>
      <w:pPr>
        <w:pStyle w:val="TextBody"/>
        <w:bidi w:val="0"/>
        <w:spacing w:before="240" w:after="0"/>
        <w:jc w:val="left"/>
        <w:rPr>
          <w:rFonts w:ascii="Times New Roman" w:hAnsi="Times New Roman"/>
          <w:sz w:val="20"/>
        </w:rPr>
      </w:pPr>
      <w:r>
        <w:rPr>
          <w:rFonts w:ascii="Times New Roman" w:hAnsi="Times New Roman"/>
          <w:b/>
          <w:sz w:val="20"/>
        </w:rPr>
        <w:t>4.2.3.</w:t>
      </w:r>
      <w:r>
        <w:rPr>
          <w:rFonts w:ascii="Times New Roman" w:hAnsi="Times New Roman"/>
          <w:sz w:val="20"/>
        </w:rPr>
        <w:t xml:space="preserve"> </w:t>
      </w:r>
      <w:r>
        <w:rPr>
          <w:rFonts w:ascii="Times New Roman" w:hAnsi="Times New Roman"/>
          <w:b/>
          <w:sz w:val="20"/>
          <w:u w:val="single"/>
        </w:rPr>
        <w:t>Notes</w:t>
      </w:r>
      <w:r>
        <w:rPr>
          <w:rFonts w:ascii="Times New Roman" w:hAnsi="Times New Roman"/>
          <w:sz w:val="20"/>
        </w:rPr>
        <w:t xml:space="preserve">. The Notes have been duly authorized by Company and when executed by Company and completed and authenticated by the Trustee in accordance with, and in the form contemplated by, the Indenture and issued, delivered to and paid for as provided in this Agreement, will have been duly issued under the Indenture and will constitute legal, valid and binding obligations of Company, entitled to the benefits of the Indenture, and enforceable in accordance with their terms, except as enforcement thereof may be limited by bankruptcy, insolvency, reorganization, moratorium or other similar laws relating to or affecting creditors’ rights generally or by general equitable principles. When executed and delivered, the Notes will be substantially in the form attached as an exhibit to the Sixth Supplemental Indenture. </w:t>
      </w:r>
    </w:p>
    <w:p>
      <w:pPr>
        <w:pStyle w:val="TextBody"/>
        <w:bidi w:val="0"/>
        <w:spacing w:before="240" w:after="0"/>
        <w:jc w:val="left"/>
        <w:rPr>
          <w:rFonts w:ascii="Times New Roman" w:hAnsi="Times New Roman"/>
          <w:sz w:val="20"/>
        </w:rPr>
      </w:pPr>
      <w:r>
        <w:rPr>
          <w:rFonts w:ascii="Times New Roman" w:hAnsi="Times New Roman"/>
          <w:b/>
          <w:sz w:val="20"/>
        </w:rPr>
        <w:t>4.2.4.</w:t>
      </w:r>
      <w:r>
        <w:rPr>
          <w:rFonts w:ascii="Times New Roman" w:hAnsi="Times New Roman"/>
          <w:sz w:val="20"/>
        </w:rPr>
        <w:t xml:space="preserve"> </w:t>
      </w:r>
      <w:r>
        <w:rPr>
          <w:rFonts w:ascii="Times New Roman" w:hAnsi="Times New Roman"/>
          <w:b/>
          <w:sz w:val="20"/>
          <w:u w:val="single"/>
        </w:rPr>
        <w:t>No</w:t>
      </w:r>
      <w:r>
        <w:rPr>
          <w:rFonts w:ascii="Times New Roman" w:hAnsi="Times New Roman"/>
          <w:sz w:val="20"/>
          <w:u w:val="single"/>
        </w:rPr>
        <w:t xml:space="preserve"> </w:t>
      </w:r>
      <w:r>
        <w:rPr>
          <w:rFonts w:ascii="Times New Roman" w:hAnsi="Times New Roman"/>
          <w:b/>
          <w:sz w:val="20"/>
          <w:u w:val="single"/>
        </w:rPr>
        <w:t>Defaults</w:t>
      </w:r>
      <w:r>
        <w:rPr>
          <w:rFonts w:ascii="Times New Roman" w:hAnsi="Times New Roman"/>
          <w:sz w:val="20"/>
          <w:u w:val="single"/>
        </w:rPr>
        <w:t xml:space="preserve"> </w:t>
      </w:r>
      <w:r>
        <w:rPr>
          <w:rFonts w:ascii="Times New Roman" w:hAnsi="Times New Roman"/>
          <w:b/>
          <w:sz w:val="20"/>
          <w:u w:val="single"/>
        </w:rPr>
        <w:t>or</w:t>
      </w:r>
      <w:r>
        <w:rPr>
          <w:rFonts w:ascii="Times New Roman" w:hAnsi="Times New Roman"/>
          <w:sz w:val="20"/>
          <w:u w:val="single"/>
        </w:rPr>
        <w:t xml:space="preserve"> </w:t>
      </w:r>
      <w:r>
        <w:rPr>
          <w:rFonts w:ascii="Times New Roman" w:hAnsi="Times New Roman"/>
          <w:b/>
          <w:sz w:val="20"/>
          <w:u w:val="single"/>
        </w:rPr>
        <w:t>Restrictions</w:t>
      </w:r>
      <w:r>
        <w:rPr>
          <w:rFonts w:ascii="Times New Roman" w:hAnsi="Times New Roman"/>
          <w:sz w:val="20"/>
        </w:rPr>
        <w:t xml:space="preserve">. Neither the execution and delivery of the Transaction Documents nor compliance with their respective terms and conditions will (whether with or without the giving of notice or lapse of time or both) (i) violate, conflict with or result in a breach of, or constitute a default under: (1) the Certificate of Incorporation or Bylaws of Company; (2) any of the terms, obligations, covenants, conditions or provisions of any corporate restriction or of any contract, agreement, indenture, mortgage, deed of trust, pledge, bank loan or credit agreement, or any other agreement or instrument to which the Company is now a party or by which it or any of its properties may be bound or affected; (3) any judgment, order, writ, injunction, decree or demand of any court, arbitrator, grand jury, or Governmental Agency applicable to the Company; or (4) any statute, rule or regulation applicable to Company, </w:t>
      </w:r>
      <w:r>
        <w:rPr>
          <w:rFonts w:ascii="Times New Roman" w:hAnsi="Times New Roman"/>
          <w:i/>
          <w:sz w:val="20"/>
        </w:rPr>
        <w:t>except</w:t>
      </w:r>
      <w:r>
        <w:rPr>
          <w:rFonts w:ascii="Times New Roman" w:hAnsi="Times New Roman"/>
          <w:sz w:val="20"/>
        </w:rPr>
        <w:t xml:space="preserve">, in the case of items (2), (3) or (4), for such violations and conflicts that would not reasonably be expected to have, singularly or in the aggregate, a Material Adverse Effect on Company, or (ii) result in the creation or imposition of any lien, charge or encumbrance of any nature whatsoever upon any property or asset of Company. The Company is not in default in the performance, observance or fulfillment of any of the terms, obligations, covenants, conditions or provisions contained in any indenture or other agreement creating, evidencing or securing Indebtedness of any kind or pursuant to which any such Indebtedness is issued, or any other agreement or instrument to which Company, is a party or by which Company, or any of its properties may be bound or affected, except, in each case, only such defaults that would not reasonably be expected to have, singularly or in the aggregate,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4.2.5.</w:t>
      </w:r>
      <w:r>
        <w:rPr>
          <w:rFonts w:ascii="Times New Roman" w:hAnsi="Times New Roman"/>
          <w:sz w:val="20"/>
        </w:rPr>
        <w:t xml:space="preserve"> </w:t>
      </w:r>
      <w:r>
        <w:rPr>
          <w:rFonts w:ascii="Times New Roman" w:hAnsi="Times New Roman"/>
          <w:b/>
          <w:sz w:val="20"/>
          <w:u w:val="single"/>
        </w:rPr>
        <w:t>Governmental Consent</w:t>
      </w:r>
      <w:r>
        <w:rPr>
          <w:rFonts w:ascii="Times New Roman" w:hAnsi="Times New Roman"/>
          <w:sz w:val="20"/>
        </w:rPr>
        <w:t xml:space="preserve">. No governmental orders, permissions, consents, approvals or authorizations are required to be obtained by Company that have not been obtained, and no registrations or declarations are required to be filed by Company that have not been filed in connection with, or, in contemplation of, the execution and delivery of, and performance under, the Transaction Documents, except for applicable requirements, if any, of the Securities Act or the Exchange Act.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Possession of Licenses and Permits</w:t>
      </w:r>
      <w:r>
        <w:rPr>
          <w:rFonts w:ascii="Times New Roman" w:hAnsi="Times New Roman"/>
          <w:sz w:val="20"/>
        </w:rPr>
        <w:t>. Company possesses such permits, licenses, approvals, consents and other authorizations (collectively, “</w:t>
      </w:r>
      <w:r>
        <w:rPr>
          <w:rFonts w:ascii="Times New Roman" w:hAnsi="Times New Roman"/>
          <w:sz w:val="20"/>
          <w:u w:val="single"/>
        </w:rPr>
        <w:t>Governmental Licenses</w:t>
      </w:r>
      <w:r>
        <w:rPr>
          <w:rFonts w:ascii="Times New Roman" w:hAnsi="Times New Roman"/>
          <w:sz w:val="20"/>
        </w:rPr>
        <w:t xml:space="preserve">”) issued by the appropriate Governmental Agencies necessary to conduct the business now operated by it, except where the failure to possess such Governmental Licenses would not, singularly or in the aggregate, have a Material Adverse Effect on Company; Company is in compliance with the terms and conditions of all such Governmental Licenses, except where the failure so to comply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individually or in the aggregate, have a Material Adverse Effect on Company; all of the Governmental Licenses are valid and in full force and effect, except where the invalidity of such Governmental Licenses or the failure of such Governmental Licenses to be in full force and effect would not have a Material Adverse Effect on Company; and the Company has not received any notice of proceedings relating to the revocation or modification of any such Governmental Licenses. </w:t>
      </w:r>
    </w:p>
    <w:p>
      <w:pPr>
        <w:pStyle w:val="TextBody"/>
        <w:bidi w:val="0"/>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Financial</w:t>
      </w:r>
      <w:r>
        <w:rPr>
          <w:rFonts w:ascii="Times New Roman" w:hAnsi="Times New Roman"/>
          <w:sz w:val="20"/>
          <w:u w:val="single"/>
        </w:rPr>
        <w:t xml:space="preserve"> </w:t>
      </w:r>
      <w:r>
        <w:rPr>
          <w:rFonts w:ascii="Times New Roman" w:hAnsi="Times New Roman"/>
          <w:b/>
          <w:sz w:val="20"/>
          <w:u w:val="single"/>
        </w:rPr>
        <w:t>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4.4.1.</w:t>
      </w:r>
      <w:r>
        <w:rPr>
          <w:rFonts w:ascii="Times New Roman" w:hAnsi="Times New Roman"/>
          <w:sz w:val="20"/>
        </w:rPr>
        <w:t xml:space="preserve"> </w:t>
      </w:r>
      <w:r>
        <w:rPr>
          <w:rFonts w:ascii="Times New Roman" w:hAnsi="Times New Roman"/>
          <w:b/>
          <w:sz w:val="20"/>
          <w:u w:val="single"/>
        </w:rPr>
        <w:t>Company Financial Statements.</w:t>
      </w:r>
      <w:r>
        <w:rPr>
          <w:rFonts w:ascii="Times New Roman" w:hAnsi="Times New Roman"/>
          <w:sz w:val="20"/>
        </w:rPr>
        <w:t xml:space="preserve"> The financial statements of Company included in Company’s Reports (including the related notes, where applicable) (i) have been prepared from, and are in accordance with, the books and records of Company; (ii) fairly present in all material respects the results of operations, cash flows, changes in stockholders’ equity and financial position of Company and its consolidated Subsidiaries, for the respective fiscal periods or as of the respective dates therein set forth (subject in the case of unaudited statements to recurring year-end audit adjustments normal in nature and amount), as applicable; (iii) complied as to form, as of their respective dates of filing in all material respects with applicable SEC rules with respect thereto; and (iv) have been prepared in accordance with GAAP consistently applied during the periods involved, except, in each case, (x) as indicated in such statements or in the notes thereto, (y) for any statement therein or omission therefrom that was corrected, amended, or supplemented or otherwise disclosed or updated in a subsequent Company’s Report, and (z) to the extent that any unaudited interim financial statements do not contain the footnotes required by GAAP, and were or are subject to normal and recurring year- end adjustments, which were not or are not expected to be material in amount, either individually or in the aggregate. The books and records of Company have been, and are being, maintained in all material respects in accordance with GAAP and any other applicable legal and accounting requirements. Company does not have any material liability of any nature whatsoever (whether absolute, accrued, contingent (including any off-balance sheet obligations) or otherwise and whether due or to become due), except for those liabilities that are reflected or reserved against on the consolidated balance sheet of Company contained in Company’s Reports for Company’s most recently completed quarterly or annual fiscal period, as applicable, and for liabilities incurred in the ordinary course of business consistent with past practice or in connection with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4.4.2.</w:t>
      </w:r>
      <w:r>
        <w:rPr>
          <w:rFonts w:ascii="Times New Roman" w:hAnsi="Times New Roman"/>
          <w:sz w:val="20"/>
        </w:rPr>
        <w:t xml:space="preserve"> </w:t>
      </w:r>
      <w:r>
        <w:rPr>
          <w:rFonts w:ascii="Times New Roman" w:hAnsi="Times New Roman"/>
          <w:b/>
          <w:sz w:val="20"/>
          <w:u w:val="single"/>
        </w:rPr>
        <w:t>Absence of Default</w:t>
      </w:r>
      <w:r>
        <w:rPr>
          <w:rFonts w:ascii="Times New Roman" w:hAnsi="Times New Roman"/>
          <w:sz w:val="20"/>
        </w:rPr>
        <w:t xml:space="preserve">. Since the date of the latest audited financial statements included in Company’s Reports, no event has occurred which either of itself or with the lapse of time or the giving of notice or both, would give any creditor of Company the right to accelerate the maturity of any material Indebtedness of Company. Company is not in default under any agreement or instrument, or any law, rule, regulation, order, writ, injunction, decree, determination or award, non-compliance with which could reasonably be expected to result in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4.4.3.</w:t>
      </w:r>
      <w:r>
        <w:rPr>
          <w:rFonts w:ascii="Times New Roman" w:hAnsi="Times New Roman"/>
          <w:sz w:val="20"/>
        </w:rPr>
        <w:t xml:space="preserve"> </w:t>
      </w:r>
      <w:r>
        <w:rPr>
          <w:rFonts w:ascii="Times New Roman" w:hAnsi="Times New Roman"/>
          <w:b/>
          <w:sz w:val="20"/>
          <w:u w:val="single"/>
        </w:rPr>
        <w:t>Solvency</w:t>
      </w:r>
      <w:r>
        <w:rPr>
          <w:rFonts w:ascii="Times New Roman" w:hAnsi="Times New Roman"/>
          <w:sz w:val="20"/>
        </w:rPr>
        <w:t xml:space="preserve">. After giving effect to the consummation of the transactions contemplated by this Agreement, Company has capital sufficient to carry on its business and transactions and is solvent and able to pay its debts as they mature. No transfer of property is being made and no Indebtedness is being incurred in connection with the transactions contemplated by this Agreement with the intent to hinder, delay or defraud either present or future creditors of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4.5.</w:t>
      </w:r>
      <w:r>
        <w:rPr>
          <w:rFonts w:ascii="Times New Roman" w:hAnsi="Times New Roman"/>
          <w:sz w:val="20"/>
        </w:rPr>
        <w:t xml:space="preserve"> </w:t>
      </w:r>
      <w:r>
        <w:rPr>
          <w:rFonts w:ascii="Times New Roman" w:hAnsi="Times New Roman"/>
          <w:b/>
          <w:sz w:val="20"/>
          <w:u w:val="single"/>
        </w:rPr>
        <w:t>No Material Adverse Change</w:t>
      </w:r>
      <w:r>
        <w:rPr>
          <w:rFonts w:ascii="Times New Roman" w:hAnsi="Times New Roman"/>
          <w:sz w:val="20"/>
        </w:rPr>
        <w:t xml:space="preserve">. Since the date of the latest audited financial statements included in Company’s Reports, there has been no development or event which has had or could reasonably be expected to have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w:t>
      </w:r>
      <w:r>
        <w:rPr>
          <w:rFonts w:ascii="Times New Roman" w:hAnsi="Times New Roman"/>
          <w:b/>
          <w:sz w:val="20"/>
          <w:u w:val="single"/>
        </w:rPr>
        <w:t>Legal</w:t>
      </w:r>
      <w:r>
        <w:rPr>
          <w:rFonts w:ascii="Times New Roman" w:hAnsi="Times New Roman"/>
          <w:sz w:val="20"/>
          <w:u w:val="single"/>
        </w:rPr>
        <w:t xml:space="preserve"> </w:t>
      </w:r>
      <w:r>
        <w:rPr>
          <w:rFonts w:ascii="Times New Roman" w:hAnsi="Times New Roman"/>
          <w:b/>
          <w:sz w:val="20"/>
          <w:u w:val="single"/>
        </w:rPr>
        <w:t>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4.6.1.</w:t>
      </w:r>
      <w:r>
        <w:rPr>
          <w:rFonts w:ascii="Times New Roman" w:hAnsi="Times New Roman"/>
          <w:sz w:val="20"/>
        </w:rPr>
        <w:t xml:space="preserve"> </w:t>
      </w:r>
      <w:r>
        <w:rPr>
          <w:rFonts w:ascii="Times New Roman" w:hAnsi="Times New Roman"/>
          <w:b/>
          <w:sz w:val="20"/>
          <w:u w:val="single"/>
        </w:rPr>
        <w:t>Compliance</w:t>
      </w:r>
      <w:r>
        <w:rPr>
          <w:rFonts w:ascii="Times New Roman" w:hAnsi="Times New Roman"/>
          <w:sz w:val="20"/>
          <w:u w:val="single"/>
        </w:rPr>
        <w:t xml:space="preserve"> </w:t>
      </w:r>
      <w:r>
        <w:rPr>
          <w:rFonts w:ascii="Times New Roman" w:hAnsi="Times New Roman"/>
          <w:b/>
          <w:sz w:val="20"/>
          <w:u w:val="single"/>
        </w:rPr>
        <w:t>with Law</w:t>
      </w:r>
      <w:r>
        <w:rPr>
          <w:rFonts w:ascii="Times New Roman" w:hAnsi="Times New Roman"/>
          <w:sz w:val="20"/>
        </w:rPr>
        <w:t xml:space="preserve">. Company has complied with, and is not under investigation with respect to, and, to Company’s knowledge, has not been threatened to be charged with or given any notice of any material violation of any applicable statutes, rules, regulations, orders and restrictions of any domestic or foreign government, or any Governmental Agency, having jurisdiction over the conduct of its business or the ownership of its properties, except where any such failure to comply or violation would not have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4.6.2.</w:t>
      </w:r>
      <w:r>
        <w:rPr>
          <w:rFonts w:ascii="Times New Roman" w:hAnsi="Times New Roman"/>
          <w:sz w:val="20"/>
        </w:rPr>
        <w:t xml:space="preserve"> </w:t>
      </w:r>
      <w:r>
        <w:rPr>
          <w:rFonts w:ascii="Times New Roman" w:hAnsi="Times New Roman"/>
          <w:b/>
          <w:sz w:val="20"/>
          <w:u w:val="single"/>
        </w:rPr>
        <w:t>Pending</w:t>
      </w:r>
      <w:r>
        <w:rPr>
          <w:rFonts w:ascii="Times New Roman" w:hAnsi="Times New Roman"/>
          <w:sz w:val="20"/>
          <w:u w:val="single"/>
        </w:rPr>
        <w:t xml:space="preserve"> </w:t>
      </w:r>
      <w:r>
        <w:rPr>
          <w:rFonts w:ascii="Times New Roman" w:hAnsi="Times New Roman"/>
          <w:b/>
          <w:sz w:val="20"/>
          <w:u w:val="single"/>
        </w:rPr>
        <w:t>Litigation</w:t>
      </w:r>
      <w:r>
        <w:rPr>
          <w:rFonts w:ascii="Times New Roman" w:hAnsi="Times New Roman"/>
          <w:sz w:val="20"/>
        </w:rPr>
        <w:t xml:space="preserve">. There are no actions, suits, proceedings or written agreements pending, or, to Company’s knowledge, threatened or proposed, against Company, at law or in equity or before or by any Governmental Agency that, either separately or in the aggregate, would reasonably be expected to have a Material Adverse Effect on Company or affect the issuance or payment of the Notes; and the Company is not a party to or named as subject to the provisions of any order, writ, injunction, or decree of, or any written agreement with, any Governmental Agency that, either separately or in the aggregate, will have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No Misstatement</w:t>
      </w:r>
      <w:r>
        <w:rPr>
          <w:rFonts w:ascii="Times New Roman" w:hAnsi="Times New Roman"/>
          <w:sz w:val="20"/>
        </w:rPr>
        <w:t xml:space="preserve">. None of the representations, warranties, covenants or agreements made in the Transaction Documents (including any exhibits or schedules thereto and any certificates delivered to the Purchasers in connection therewith) contains any untrue statement of a material fact, or omits to state a material fact necessary to make the statements contained therein not misleading in light of the circumstances when made or furnished to Purchasers, except for any statement therein or omission therefrom which was corrected, amended or supplemented or otherwise disclosed or updated in a subsequent exhibit, report, schedule or document prior to the date hereof. The Registration Statement, as of its most recent effective date and as of the Closing Date, and the Prospectus, as of the date thereof and the Closing Date, did not and do not include any untrue statement of a material fact or omit to state a material fact necessary to make the statements therein, in light of the circumstances under which they were or are made, not misleading. </w:t>
      </w:r>
    </w:p>
    <w:p>
      <w:pPr>
        <w:pStyle w:val="TextBody"/>
        <w:bidi w:val="0"/>
        <w:spacing w:before="240" w:after="0"/>
        <w:jc w:val="left"/>
        <w:rPr>
          <w:rFonts w:ascii="Times New Roman" w:hAnsi="Times New Roman"/>
          <w:sz w:val="20"/>
        </w:rPr>
      </w:pPr>
      <w:r>
        <w:rPr>
          <w:rFonts w:ascii="Times New Roman" w:hAnsi="Times New Roman"/>
          <w:b/>
          <w:sz w:val="20"/>
        </w:rPr>
        <w:t>4.8.</w:t>
      </w:r>
      <w:r>
        <w:rPr>
          <w:rFonts w:ascii="Times New Roman" w:hAnsi="Times New Roman"/>
          <w:sz w:val="20"/>
        </w:rPr>
        <w:t xml:space="preserve"> </w:t>
      </w:r>
      <w:r>
        <w:rPr>
          <w:rFonts w:ascii="Times New Roman" w:hAnsi="Times New Roman"/>
          <w:b/>
          <w:sz w:val="20"/>
          <w:u w:val="single"/>
        </w:rPr>
        <w:t>Reporting Compliance</w:t>
      </w:r>
      <w:r>
        <w:rPr>
          <w:rFonts w:ascii="Times New Roman" w:hAnsi="Times New Roman"/>
          <w:sz w:val="20"/>
        </w:rPr>
        <w:t xml:space="preserve">. Company is subject to, and is in compliance in all material respects with, the reporting requirements of Section 13 and Section 15(d), as applicable, of the Exchange Act. The Company’s Reports at the time they were or hereafter are filed with the SEC, complied and will comply in all material respects with the requirements of the Exchange Act and did not and will not include any untrue statement of a material fact or omit to state a material fact necessary to make the statements therein, in light of the circumstances under which they were or are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4.9.</w:t>
      </w:r>
      <w:r>
        <w:rPr>
          <w:rFonts w:ascii="Times New Roman" w:hAnsi="Times New Roman"/>
          <w:sz w:val="20"/>
        </w:rPr>
        <w:t xml:space="preserve"> </w:t>
      </w:r>
      <w:r>
        <w:rPr>
          <w:rFonts w:ascii="Times New Roman" w:hAnsi="Times New Roman"/>
          <w:b/>
          <w:sz w:val="20"/>
          <w:u w:val="single"/>
        </w:rPr>
        <w:t>Internal Control Over Financial Reporting</w:t>
      </w:r>
      <w:r>
        <w:rPr>
          <w:rFonts w:ascii="Times New Roman" w:hAnsi="Times New Roman"/>
          <w:sz w:val="20"/>
        </w:rPr>
        <w:t xml:space="preserve">. Company maintains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a system of accounting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Company’s most recent audited fiscal year, (y) Company has no knowledge of (i) any material weakness in Company’s internal control over financial reporting (whether or not remediated) or (ii) any fraud, whether or not material, that involves management or other employees who have a significant role in Company’s internal controls and (z) there has been no change in Company’s internal control over financial reporting that has materially affected, or is reasonably likely to materially affect,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b/>
          <w:sz w:val="20"/>
        </w:rPr>
        <w:t>4.10.</w:t>
      </w:r>
      <w:r>
        <w:rPr>
          <w:rFonts w:ascii="Times New Roman" w:hAnsi="Times New Roman"/>
          <w:sz w:val="20"/>
        </w:rPr>
        <w:t xml:space="preserve"> </w:t>
      </w:r>
      <w:r>
        <w:rPr>
          <w:rFonts w:ascii="Times New Roman" w:hAnsi="Times New Roman"/>
          <w:b/>
          <w:sz w:val="20"/>
          <w:u w:val="single"/>
        </w:rPr>
        <w:t>Disclosure</w:t>
      </w:r>
      <w:r>
        <w:rPr>
          <w:rFonts w:ascii="Times New Roman" w:hAnsi="Times New Roman"/>
          <w:sz w:val="20"/>
          <w:u w:val="single"/>
        </w:rPr>
        <w:t xml:space="preserve"> </w:t>
      </w:r>
      <w:r>
        <w:rPr>
          <w:rFonts w:ascii="Times New Roman" w:hAnsi="Times New Roman"/>
          <w:b/>
          <w:sz w:val="20"/>
          <w:u w:val="single"/>
        </w:rPr>
        <w:t>Controls</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Procedures</w:t>
      </w:r>
      <w:r>
        <w:rPr>
          <w:rFonts w:ascii="Times New Roman" w:hAnsi="Times New Roman"/>
          <w:sz w:val="20"/>
        </w:rPr>
        <w:t xml:space="preserve">. Company maintains an effective system of disclosure controls and procedures (as defined in Rule 13a-15 and Rule 15d-15 of the Exchange Act), that (i) are designed to ensure that information required to be disclosed by Company in the reports that it files or submits under the Exchange Act is recorded, processed, summarized and reported within the time periods specified in the SEC’s rules and forms and that material information relating to Company is made known to Company’s principal executive officer and principal financial officer by others within Company to allow timely decisions regarding disclosure, and (ii) are effective in all material respects to perform the functions for which they were established. As of the date hereof, Company has no knowledge that would cause it to believe that the evaluation to be conducted of the effectiveness of Company’s disclosure controls and procedures for the most recently ended fiscal quarter period will result in a finding that such disclosure controls and procedures are ineffective in any material respect for such quarter ended. Based on the evaluation of Company’s disclosure controls and procedures described above, Company is not aware of any material weakness or significant deficiency in the design or operation in disclosure controls and procedures. </w:t>
      </w:r>
    </w:p>
    <w:p>
      <w:pPr>
        <w:pStyle w:val="TextBody"/>
        <w:bidi w:val="0"/>
        <w:spacing w:before="240" w:after="0"/>
        <w:jc w:val="left"/>
        <w:rPr>
          <w:rFonts w:ascii="Times New Roman" w:hAnsi="Times New Roman"/>
          <w:sz w:val="20"/>
        </w:rPr>
      </w:pPr>
      <w:r>
        <w:rPr>
          <w:rFonts w:ascii="Times New Roman" w:hAnsi="Times New Roman"/>
          <w:b/>
          <w:sz w:val="20"/>
        </w:rPr>
        <w:t>4.11.</w:t>
      </w:r>
      <w:r>
        <w:rPr>
          <w:rFonts w:ascii="Times New Roman" w:hAnsi="Times New Roman"/>
          <w:sz w:val="20"/>
        </w:rPr>
        <w:t xml:space="preserve"> </w:t>
      </w:r>
      <w:r>
        <w:rPr>
          <w:rFonts w:ascii="Times New Roman" w:hAnsi="Times New Roman"/>
          <w:b/>
          <w:sz w:val="20"/>
          <w:u w:val="single"/>
        </w:rPr>
        <w:t>Additional Notes</w:t>
      </w:r>
      <w:r>
        <w:rPr>
          <w:rFonts w:ascii="Times New Roman" w:hAnsi="Times New Roman"/>
          <w:sz w:val="20"/>
        </w:rPr>
        <w:t xml:space="preserve">. The 2029 Notes to be sold pursuant to this Agreement will constitute an issuance of “Additional Notes” under and as defined in the Indenture. Except as disclosed in the Prospectus, the 2029 Notes offered and sold by the Company pursuant to this agreement will have identical terms to the Existing Securities, and the 2029 Notes and the Existing Securities will be treated as a single series of notes for all purposes under the Indenture and will be fungible with the Existing Securities for U.S. federal income tax purposes. Upon the issuance of the 2029 Notes, the outstanding aggregate principal amount of the Company’s 7.50% Notes due 2029 will be $60,000,000.00.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w:t>
      </w:r>
      <w:r>
        <w:rPr>
          <w:rFonts w:ascii="Times New Roman" w:hAnsi="Times New Roman"/>
          <w:b/>
          <w:sz w:val="20"/>
          <w:u w:val="single"/>
        </w:rPr>
        <w:t>GENERAL COVENANTS, CONDITIONS AND AGREEMENTS.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Company hereby further covenants and agrees with each Purchaser as follows: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Compliance with Transaction Documents</w:t>
      </w:r>
      <w:r>
        <w:rPr>
          <w:rFonts w:ascii="Times New Roman" w:hAnsi="Times New Roman"/>
          <w:sz w:val="20"/>
        </w:rPr>
        <w:t xml:space="preserve">. Company shall comply with, observe and timely perform each and every one of its covenants, agreements and obligations under the Transaction Documents.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Compliance</w:t>
      </w:r>
      <w:r>
        <w:rPr>
          <w:rFonts w:ascii="Times New Roman" w:hAnsi="Times New Roman"/>
          <w:sz w:val="20"/>
          <w:u w:val="single"/>
        </w:rPr>
        <w:t xml:space="preserve"> </w:t>
      </w:r>
      <w:r>
        <w:rPr>
          <w:rFonts w:ascii="Times New Roman" w:hAnsi="Times New Roman"/>
          <w:b/>
          <w:sz w:val="20"/>
          <w:u w:val="single"/>
        </w:rPr>
        <w:t>with</w:t>
      </w:r>
      <w:r>
        <w:rPr>
          <w:rFonts w:ascii="Times New Roman" w:hAnsi="Times New Roman"/>
          <w:sz w:val="20"/>
          <w:u w:val="single"/>
        </w:rPr>
        <w:t xml:space="preserve"> </w:t>
      </w:r>
      <w:r>
        <w:rPr>
          <w:rFonts w:ascii="Times New Roman" w:hAnsi="Times New Roman"/>
          <w:b/>
          <w:sz w:val="20"/>
          <w:u w:val="single"/>
        </w:rPr>
        <w:t>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5.2.1.</w:t>
      </w:r>
      <w:r>
        <w:rPr>
          <w:rFonts w:ascii="Times New Roman" w:hAnsi="Times New Roman"/>
          <w:sz w:val="20"/>
        </w:rPr>
        <w:t xml:space="preserve"> </w:t>
      </w:r>
      <w:r>
        <w:rPr>
          <w:rFonts w:ascii="Times New Roman" w:hAnsi="Times New Roman"/>
          <w:b/>
          <w:sz w:val="20"/>
          <w:u w:val="single"/>
        </w:rPr>
        <w:t>Generally</w:t>
      </w:r>
      <w:r>
        <w:rPr>
          <w:rFonts w:ascii="Times New Roman" w:hAnsi="Times New Roman"/>
          <w:sz w:val="20"/>
        </w:rPr>
        <w:t xml:space="preserve">. Company shall comply in all material respects with all applicable statutes, rules, regulations, orders and restrictions in respect of the conduct of its business and the ownership of its properties, except, in each case, where such non-compliance would not reasonably be expected to have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5.2.2.</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Company shall promptly pay and discharge all taxes, assessments and other governmental charges imposed upon Company or upon the income, profits, or property of Company. Notwithstanding the foregoing, the Company shall not be required to pay any such tax, assessment or charge, so long as the validity thereof shall be contested in good faith by appropriate proceedings, and appropriate reserves therefor shall be maintained on the books of Company.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Absence of Control</w:t>
      </w:r>
      <w:r>
        <w:rPr>
          <w:rFonts w:ascii="Times New Roman" w:hAnsi="Times New Roman"/>
          <w:sz w:val="20"/>
        </w:rPr>
        <w:t xml:space="preserve">. It is the intent of the parties to this Agreement that in no event shall Purchasers, by reason of any of the Transaction Documents, be deemed to control, directly or indirectly, Company, and Purchasers shall not exercise, or be deemed to exercise, directly or indirectly, a controlling influence over the management or policies of Company. </w:t>
      </w:r>
    </w:p>
    <w:p>
      <w:pPr>
        <w:pStyle w:val="TextBody"/>
        <w:bidi w:val="0"/>
        <w:spacing w:before="24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u w:val="single"/>
        </w:rPr>
        <w:t>Insurance</w:t>
      </w:r>
      <w:r>
        <w:rPr>
          <w:rFonts w:ascii="Times New Roman" w:hAnsi="Times New Roman"/>
          <w:sz w:val="20"/>
        </w:rPr>
        <w:t xml:space="preserve">. At its sole cost and expense, Company shall maintain bonds and insurance in such amounts as is prudent and customary in the businesses in which it is engaged. All such bonds and policies of insurance shall be with insurers of recognized financial responsibility against such losses and risks. </w:t>
      </w:r>
    </w:p>
    <w:p>
      <w:pPr>
        <w:pStyle w:val="TextBody"/>
        <w:bidi w:val="0"/>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u w:val="single"/>
        </w:rPr>
        <w:t>DTC Registration</w:t>
      </w:r>
      <w:r>
        <w:rPr>
          <w:rFonts w:ascii="Times New Roman" w:hAnsi="Times New Roman"/>
          <w:sz w:val="20"/>
        </w:rPr>
        <w:t>. Company shall cause the Notes to be registered in the name of Cede &amp; Co. as nominee of The Depository Trust Company (“</w:t>
      </w:r>
      <w:r>
        <w:rPr>
          <w:rFonts w:ascii="Times New Roman" w:hAnsi="Times New Roman"/>
          <w:sz w:val="20"/>
          <w:u w:val="single"/>
        </w:rPr>
        <w:t>DTC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u w:val="single"/>
        </w:rPr>
        <w:t>Credit</w:t>
      </w:r>
      <w:r>
        <w:rPr>
          <w:rFonts w:ascii="Times New Roman" w:hAnsi="Times New Roman"/>
          <w:sz w:val="20"/>
          <w:u w:val="single"/>
        </w:rPr>
        <w:t xml:space="preserve"> </w:t>
      </w:r>
      <w:r>
        <w:rPr>
          <w:rFonts w:ascii="Times New Roman" w:hAnsi="Times New Roman"/>
          <w:b/>
          <w:sz w:val="20"/>
          <w:u w:val="single"/>
        </w:rPr>
        <w:t>Ratings</w:t>
      </w:r>
      <w:r>
        <w:rPr>
          <w:rFonts w:ascii="Times New Roman" w:hAnsi="Times New Roman"/>
          <w:sz w:val="20"/>
        </w:rPr>
        <w:t xml:space="preserve">. Company shall, for the period of time during which the Notes are outstanding, use its commercially reasonable efforts to maintain a credit rating of the Notes from at least one Rating Agency at all times. </w:t>
      </w:r>
    </w:p>
    <w:p>
      <w:pPr>
        <w:pStyle w:val="TextBody"/>
        <w:bidi w:val="0"/>
        <w:spacing w:before="240" w:after="0"/>
        <w:jc w:val="left"/>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REPRESENTATIONS, WARRANTIES AND COVENANTS OF PURCHASERS.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hereby represents and warrants to Company, and covenants with Company, severally and not jointly, as follows: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Legal Power and Authority</w:t>
      </w:r>
      <w:r>
        <w:rPr>
          <w:rFonts w:ascii="Times New Roman" w:hAnsi="Times New Roman"/>
          <w:sz w:val="20"/>
        </w:rPr>
        <w:t xml:space="preserve">. The Purchaser has all necessary power and authority to execute, deliver and perform its obligations under this Agreement and to consummate the transactions contemplated hereby, is an entity duly organized, validly existing and in good standing under the laws of its jurisdiction of organization.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Authorization and Execution</w:t>
      </w:r>
      <w:r>
        <w:rPr>
          <w:rFonts w:ascii="Times New Roman" w:hAnsi="Times New Roman"/>
          <w:sz w:val="20"/>
        </w:rPr>
        <w:t xml:space="preserve">. The execution, delivery and performance of this Agreement have been duly authorized by all necessary action on the part of such Purchaser, and, assuming due authorization, execution and delivery by the other parties thereto, this Agreement is a legal, valid and binding obligation of such Purchaser, enforceable against such Purchaser in accordance with its terms, except as enforcement thereof may be limited by bankruptcy, insolvency, reorganization, moratorium or other similar laws relating to or affecting creditors’ rights generally or by general equitable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No Conflicts</w:t>
      </w:r>
      <w:r>
        <w:rPr>
          <w:rFonts w:ascii="Times New Roman" w:hAnsi="Times New Roman"/>
          <w:sz w:val="20"/>
        </w:rPr>
        <w:t xml:space="preserve">. Neither the execution, delivery or performance of the Transaction Documents nor the consummation of any of the transactions contemplated thereby will conflict with, violate, constitute a breach of or a default (whether with or without the giving of notice or lapse of time or both) under (i) the Purchaser’s organizational documents, (ii) any agreement to which the Purchaser is party, (iii) any law applicable to the Purchaser or (iv) any order, writ, judgment, injunction, decree, determination or award binding upon or affecting the Purchaser.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Information</w:t>
      </w:r>
      <w:r>
        <w:rPr>
          <w:rFonts w:ascii="Times New Roman" w:hAnsi="Times New Roman"/>
          <w:sz w:val="20"/>
        </w:rPr>
        <w:t xml:space="preserve">. The Purchaser acknowledges that neither the Company nor any person representing the Company has made any representation to the Purchaser with respect to the Company or the offering and sale of the Notes other than the information contained in or incorporated by reference into the Prospectus. The Purchaser also acknowledges that it has received a copy of the Prospectus relating to the offering of the Notes and acknowledges that the Purchaser has had access to such financial and other information, and has been offered the opportunity to ask the Company questions and received answers thereto, as the Purchaser deemed necessary in connection with the decision to purchase the Notes. The Purchaser is relying only on the information contained in the Prospectus, or incorporated therein, in making its investment decision with respect to the Notes.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Investment Decision</w:t>
      </w:r>
      <w:r>
        <w:rPr>
          <w:rFonts w:ascii="Times New Roman" w:hAnsi="Times New Roman"/>
          <w:sz w:val="20"/>
        </w:rPr>
        <w:t xml:space="preserve">. The Purchaser has made its own investment decision based upon the Purchaser’s own judgment, due diligence and advice from such advisors as the Purchaser has deemed necessary and not upon any view expressed by any other person or entity, including Lucid (or, with respect to the Indenture, the Trustee). Neither such inquiries nor any other due diligence investigations conducted by the Purchaser or its advisors or representatives, if any, shall modify, amend or affect the Purchaser’s right to rely on Company’s representations and warranties contained herein. The Purchaser is not relying upon, and has not relied upon, any advice, statement, representation or warranty made by any Person by or on behalf of Company, including without limitation Lucid (or, with respect to the Indenture, the Trustee), except for the express statements, representations and warranties of Company made or contained in this Agreement and the Prospectus. Furthermore, the Purchaser acknowledges that (i) Lucid has not performed any due diligence review on behalf of the Purchaser and (ii) nothing in this Agreement or any other materials presented by or on behalf of Company to the Purchaser in connection with the purchase of the Notes constitutes legal, tax or investment advice.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Financial Advisor and Structuring Advisor</w:t>
      </w:r>
      <w:r>
        <w:rPr>
          <w:rFonts w:ascii="Times New Roman" w:hAnsi="Times New Roman"/>
          <w:sz w:val="20"/>
        </w:rPr>
        <w:t xml:space="preserve">. The Purchaser will purchase the Note(s) directly from Company and not from Lucid and understands that neither Lucid nor any other broker or dealer has any obligation to make a market in the Notes.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Accuracy of Representations</w:t>
      </w:r>
      <w:r>
        <w:rPr>
          <w:rFonts w:ascii="Times New Roman" w:hAnsi="Times New Roman"/>
          <w:sz w:val="20"/>
        </w:rPr>
        <w:t xml:space="preserve">. The Purchaser understands that Company will rely upon the truth and accuracy of the foregoing representations, acknowledgements and agreements in connection with the transactions contemplated by this Agreement, and agrees that if any of the representations or acknowledgements made by the Purchaser are no longer accurate as of the Closing Date, or if any of the agreements made by the Purchaser are breached on or prior to the Closing Date, the Purchaser shall promptly notify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Representations and Warranties Generally</w:t>
      </w:r>
      <w:r>
        <w:rPr>
          <w:rFonts w:ascii="Times New Roman" w:hAnsi="Times New Roman"/>
          <w:sz w:val="20"/>
        </w:rPr>
        <w:t xml:space="preserve">. The representations and warranties of the Purchaser set forth in this Agreement are true and correct as of the date hereof and will be true and correct as of the Closing Date and as otherwise specifically provided herein. Any certificate signed by a duly authorized representative of the Purchaser and delivered to Company or to counsel for Company shall be deemed to be a representation and warranty by the Purchaser to Company as to the matters set forth therein. </w:t>
      </w:r>
    </w:p>
    <w:p>
      <w:pPr>
        <w:pStyle w:val="TextBody"/>
        <w:bidi w:val="0"/>
        <w:spacing w:before="240" w:after="0"/>
        <w:jc w:val="left"/>
        <w:rPr>
          <w:rFonts w:ascii="Times New Roman" w:hAnsi="Times New Roman"/>
          <w:b/>
          <w:sz w:val="20"/>
        </w:rPr>
      </w:pPr>
      <w:r>
        <w:rPr>
          <w:rFonts w:ascii="Times New Roman" w:hAnsi="Times New Roman"/>
          <w:b/>
          <w:sz w:val="20"/>
        </w:rPr>
        <w:t xml:space="preserve">7. </w:t>
      </w:r>
      <w:r>
        <w:rPr>
          <w:rFonts w:ascii="Times New Roman" w:hAnsi="Times New Roman"/>
          <w:b/>
          <w:sz w:val="20"/>
          <w:u w:val="single"/>
        </w:rPr>
        <w:t>MISCELLANEOUS.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Time</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the</w:t>
      </w:r>
      <w:r>
        <w:rPr>
          <w:rFonts w:ascii="Times New Roman" w:hAnsi="Times New Roman"/>
          <w:sz w:val="20"/>
          <w:u w:val="single"/>
        </w:rPr>
        <w:t xml:space="preserve"> </w:t>
      </w:r>
      <w:r>
        <w:rPr>
          <w:rFonts w:ascii="Times New Roman" w:hAnsi="Times New Roman"/>
          <w:b/>
          <w:sz w:val="20"/>
          <w:u w:val="single"/>
        </w:rPr>
        <w:t>Essence</w:t>
      </w:r>
      <w:r>
        <w:rPr>
          <w:rFonts w:ascii="Times New Roman" w:hAnsi="Times New Roman"/>
          <w:sz w:val="20"/>
        </w:rPr>
        <w:t xml:space="preserve">. Time is of the essence of this Agreement.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Waiver or Amendment</w:t>
      </w:r>
      <w:r>
        <w:rPr>
          <w:rFonts w:ascii="Times New Roman" w:hAnsi="Times New Roman"/>
          <w:sz w:val="20"/>
        </w:rPr>
        <w:t xml:space="preserve">. No waiver or amendment of any term, provision, condition, covenant or agreement herein shall be effective unless in writing and signed by all of the parties hereto. The rights and remedies provided in this Agreement are cumulative and not exclusive of any right or remedy provided by law or equity. </w:t>
      </w:r>
    </w:p>
    <w:p>
      <w:pPr>
        <w:pStyle w:val="TextBody"/>
        <w:bidi w:val="0"/>
        <w:spacing w:before="24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Any provision of this Agreement which is unenforceable or invalid or contrary to law, or the inclusion of which would adversely affect the validity, legality or enforcement of this Agreement, shall be of no effect and, in such case, all the remaining terms and provisions of this Agreement shall subsist and be fully effective according to the tenor of this Agreement the same as though any such invalid portion had never been included herein. Notwithstanding any of the foregoing to the contrary, if any provisions of this Agreement or the application thereof are held invalid or unenforceable only as to particular persons or situations, the remainder of this Agreement, and the application of such provision to persons or situations other than those to which it shall have been held invalid or unenforceable, shall not be affected thereby, but shall continue valid and enforceable to the fullest extent permitted by law. </w:t>
      </w:r>
    </w:p>
    <w:p>
      <w:pPr>
        <w:pStyle w:val="TextBody"/>
        <w:bidi w:val="0"/>
        <w:spacing w:before="24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notice which any party hereto may be required or may desire to give hereunder shall be deemed to have been given if in writing and if delivered personally, or if mailed, postage prepaid, by United States registered or certified mail, return receipt requested, or if delivered by a responsible overnight commercial courier promising next business day delivery, addressed: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005"/>
        <w:gridCol w:w="120"/>
        <w:gridCol w:w="3846"/>
        <w:gridCol w:w="120"/>
        <w:gridCol w:w="3705"/>
      </w:tblGrid>
      <w:tr>
        <w:trPr/>
        <w:tc>
          <w:tcPr>
            <w:tcW w:w="20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2005" w:type="dxa"/>
            <w:tcBorders/>
          </w:tcPr>
          <w:p>
            <w:pPr>
              <w:pStyle w:val="TableContents"/>
              <w:bidi w:val="0"/>
              <w:spacing w:before="0" w:after="283"/>
              <w:jc w:val="left"/>
              <w:rPr/>
            </w:pPr>
            <w:r>
              <w:rPr/>
              <w:t>if to Company:</w:t>
            </w:r>
          </w:p>
        </w:tc>
        <w:tc>
          <w:tcPr>
            <w:tcW w:w="120" w:type="dxa"/>
            <w:tcBorders/>
            <w:vAlign w:val="bottom"/>
          </w:tcPr>
          <w:p>
            <w:pPr>
              <w:pStyle w:val="TableContents"/>
              <w:bidi w:val="0"/>
              <w:spacing w:before="0" w:after="283"/>
              <w:jc w:val="left"/>
              <w:rPr/>
            </w:pPr>
            <w:r>
              <w:rPr/>
              <w:t>  </w:t>
            </w:r>
          </w:p>
        </w:tc>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BCP Investment Corporation</w:t>
            </w:r>
          </w:p>
          <w:p>
            <w:pPr>
              <w:pStyle w:val="TableContents"/>
              <w:bidi w:val="0"/>
              <w:spacing w:before="0" w:after="0"/>
              <w:jc w:val="left"/>
              <w:rPr>
                <w:rFonts w:ascii="Times New Roman" w:hAnsi="Times New Roman"/>
                <w:sz w:val="20"/>
              </w:rPr>
            </w:pPr>
            <w:r>
              <w:rPr>
                <w:rFonts w:ascii="Times New Roman" w:hAnsi="Times New Roman"/>
                <w:sz w:val="20"/>
              </w:rPr>
              <w:t>650 Madison Avenue, 3rd Floor</w:t>
            </w:r>
          </w:p>
          <w:p>
            <w:pPr>
              <w:pStyle w:val="TableContents"/>
              <w:bidi w:val="0"/>
              <w:spacing w:before="0" w:after="0"/>
              <w:jc w:val="left"/>
              <w:rPr>
                <w:rFonts w:ascii="Times New Roman" w:hAnsi="Times New Roman"/>
                <w:sz w:val="20"/>
              </w:rPr>
            </w:pPr>
            <w:r>
              <w:rPr>
                <w:rFonts w:ascii="Times New Roman" w:hAnsi="Times New Roman"/>
                <w:sz w:val="20"/>
              </w:rPr>
              <w:t>New York, New York 10022</w:t>
            </w:r>
          </w:p>
          <w:p>
            <w:pPr>
              <w:pStyle w:val="TableContents"/>
              <w:bidi w:val="0"/>
              <w:spacing w:before="0" w:after="20"/>
              <w:jc w:val="left"/>
              <w:rPr>
                <w:rFonts w:ascii="Times New Roman" w:hAnsi="Times New Roman"/>
                <w:sz w:val="20"/>
              </w:rPr>
            </w:pPr>
            <w:r>
              <w:rPr>
                <w:rFonts w:ascii="Times New Roman" w:hAnsi="Times New Roman"/>
                <w:sz w:val="20"/>
              </w:rPr>
              <w:t>Attention: Ted Goldthorpe</w:t>
            </w:r>
          </w:p>
        </w:tc>
        <w:tc>
          <w:tcPr>
            <w:tcW w:w="120" w:type="dxa"/>
            <w:tcBorders/>
            <w:vAlign w:val="bottom"/>
          </w:tcPr>
          <w:p>
            <w:pPr>
              <w:pStyle w:val="TableContents"/>
              <w:bidi w:val="0"/>
              <w:spacing w:before="0" w:after="283"/>
              <w:jc w:val="left"/>
              <w:rPr/>
            </w:pPr>
            <w:r>
              <w:rPr/>
              <w:t>  </w:t>
            </w:r>
          </w:p>
        </w:tc>
        <w:tc>
          <w:tcPr>
            <w:tcW w:w="3705" w:type="dxa"/>
            <w:tcBorders/>
          </w:tcPr>
          <w:p>
            <w:pPr>
              <w:pStyle w:val="TableContents"/>
              <w:bidi w:val="0"/>
              <w:spacing w:before="0" w:after="283"/>
              <w:jc w:val="left"/>
              <w:rPr>
                <w:sz w:val="4"/>
                <w:szCs w:val="4"/>
              </w:rPr>
            </w:pPr>
            <w:r>
              <w:rPr>
                <w:sz w:val="4"/>
                <w:szCs w:val="4"/>
              </w:rPr>
            </w:r>
          </w:p>
        </w:tc>
      </w:tr>
      <w:tr>
        <w:trPr>
          <w:trHeight w:val="120" w:hRule="atLeast"/>
        </w:trPr>
        <w:tc>
          <w:tcPr>
            <w:tcW w:w="2005" w:type="dxa"/>
            <w:tcBorders/>
            <w:vAlign w:val="center"/>
          </w:tcPr>
          <w:p>
            <w:pPr>
              <w:pStyle w:val="TableContents"/>
              <w:bidi w:val="0"/>
              <w:spacing w:before="0" w:after="283"/>
              <w:jc w:val="left"/>
              <w:rPr>
                <w:sz w:val="4"/>
                <w:szCs w:val="4"/>
              </w:rPr>
            </w:pPr>
            <w:r>
              <w:rPr>
                <w:sz w:val="4"/>
                <w:szCs w:val="4"/>
              </w:rPr>
            </w:r>
          </w:p>
        </w:tc>
        <w:tc>
          <w:tcPr>
            <w:tcW w:w="3966" w:type="dxa"/>
            <w:gridSpan w:val="2"/>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r>
      <w:tr>
        <w:trPr/>
        <w:tc>
          <w:tcPr>
            <w:tcW w:w="2005" w:type="dxa"/>
            <w:tcBorders/>
          </w:tcPr>
          <w:p>
            <w:pPr>
              <w:pStyle w:val="TableContents"/>
              <w:bidi w:val="0"/>
              <w:spacing w:before="0" w:after="283"/>
              <w:jc w:val="left"/>
              <w:rPr/>
            </w:pPr>
            <w:r>
              <w:rPr/>
              <w:t>if to Purchasers:</w:t>
            </w:r>
          </w:p>
        </w:tc>
        <w:tc>
          <w:tcPr>
            <w:tcW w:w="120" w:type="dxa"/>
            <w:tcBorders/>
            <w:vAlign w:val="bottom"/>
          </w:tcPr>
          <w:p>
            <w:pPr>
              <w:pStyle w:val="TableContents"/>
              <w:bidi w:val="0"/>
              <w:spacing w:before="0" w:after="283"/>
              <w:jc w:val="left"/>
              <w:rPr/>
            </w:pPr>
            <w:r>
              <w:rPr/>
              <w:t>  </w:t>
            </w:r>
          </w:p>
        </w:tc>
        <w:tc>
          <w:tcPr>
            <w:tcW w:w="3846" w:type="dxa"/>
            <w:tcBorders/>
          </w:tcPr>
          <w:p>
            <w:pPr>
              <w:pStyle w:val="TableContents"/>
              <w:bidi w:val="0"/>
              <w:spacing w:before="0" w:after="283"/>
              <w:jc w:val="left"/>
              <w:rPr/>
            </w:pPr>
            <w:r>
              <w:rPr/>
              <w:t>To the address indicated on Appendix A hereto.</w:t>
            </w:r>
          </w:p>
        </w:tc>
        <w:tc>
          <w:tcPr>
            <w:tcW w:w="120" w:type="dxa"/>
            <w:tcBorders/>
            <w:vAlign w:val="bottom"/>
          </w:tcPr>
          <w:p>
            <w:pPr>
              <w:pStyle w:val="TableContents"/>
              <w:bidi w:val="0"/>
              <w:spacing w:before="0" w:after="283"/>
              <w:jc w:val="left"/>
              <w:rPr/>
            </w:pPr>
            <w:r>
              <w:rPr/>
              <w:t>  </w:t>
            </w:r>
          </w:p>
        </w:tc>
        <w:tc>
          <w:tcPr>
            <w:tcW w:w="370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addresses as the party to be given notice may have furnished in writing to the party seeking or desiring to give notice, as a place for the giving of notice; provided that no change in address shall be effective until five (5) Business Days after being given to the other party in the manner provided for above. Any notice given in accordance with the foregoing shall be deemed given when delivered personally or, if mailed, three (3) Business Days after it shall have been deposited in the United States mails as aforesaid or, if sent by overnight courier, the Business Day following the date of delivery to such courier (provided next business day delivery was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This Agreement and all of the provisions will be binding upon and inure to the benefit of the parties hereto and their respective heirs, legal representatives, successors and assigns; except that, unless a Purchaser consents in writing, no assignment made by Company in violation of this Agreement shall be effective or confer any rights on any purported assignee of Company. The term “successors and assigns” will not include a purchaser of any of the Notes from any Purchaser merely because of such purchase. </w:t>
      </w:r>
    </w:p>
    <w:p>
      <w:pPr>
        <w:pStyle w:val="TextBody"/>
        <w:bidi w:val="0"/>
        <w:spacing w:before="240" w:after="0"/>
        <w:jc w:val="left"/>
        <w:rPr>
          <w:rFonts w:ascii="Times New Roman" w:hAnsi="Times New Roman"/>
          <w:sz w:val="20"/>
        </w:rPr>
      </w:pPr>
      <w:r>
        <w:rPr>
          <w:rFonts w:ascii="Times New Roman" w:hAnsi="Times New Roman"/>
          <w:b/>
          <w:sz w:val="20"/>
        </w:rPr>
        <w:t>7.6.</w:t>
      </w:r>
      <w:r>
        <w:rPr>
          <w:rFonts w:ascii="Times New Roman" w:hAnsi="Times New Roman"/>
          <w:sz w:val="20"/>
        </w:rPr>
        <w:t xml:space="preserve"> </w:t>
      </w:r>
      <w:r>
        <w:rPr>
          <w:rFonts w:ascii="Times New Roman" w:hAnsi="Times New Roman"/>
          <w:b/>
          <w:sz w:val="20"/>
          <w:u w:val="single"/>
        </w:rPr>
        <w:t>No Joint Venture</w:t>
      </w:r>
      <w:r>
        <w:rPr>
          <w:rFonts w:ascii="Times New Roman" w:hAnsi="Times New Roman"/>
          <w:sz w:val="20"/>
        </w:rPr>
        <w:t xml:space="preserve">. Nothing contained herein or in any document executed pursuant hereto and no action or inaction whatsoever on the part of a Purchaser, shall be deemed to make a Purchaser a partner or joint venturer with Company. </w:t>
      </w:r>
    </w:p>
    <w:p>
      <w:pPr>
        <w:pStyle w:val="TextBody"/>
        <w:bidi w:val="0"/>
        <w:spacing w:before="240" w:after="0"/>
        <w:jc w:val="left"/>
        <w:rPr>
          <w:rFonts w:ascii="Times New Roman" w:hAnsi="Times New Roman"/>
          <w:sz w:val="20"/>
        </w:rPr>
      </w:pPr>
      <w:r>
        <w:rPr>
          <w:rFonts w:ascii="Times New Roman" w:hAnsi="Times New Roman"/>
          <w:b/>
          <w:sz w:val="20"/>
        </w:rPr>
        <w:t>7.7.</w:t>
      </w:r>
      <w:r>
        <w:rPr>
          <w:rFonts w:ascii="Times New Roman" w:hAnsi="Times New Roman"/>
          <w:sz w:val="20"/>
        </w:rPr>
        <w:t xml:space="preserve"> </w:t>
      </w:r>
      <w:r>
        <w:rPr>
          <w:rFonts w:ascii="Times New Roman" w:hAnsi="Times New Roman"/>
          <w:b/>
          <w:sz w:val="20"/>
          <w:u w:val="single"/>
        </w:rPr>
        <w:t>Documentation</w:t>
      </w:r>
      <w:r>
        <w:rPr>
          <w:rFonts w:ascii="Times New Roman" w:hAnsi="Times New Roman"/>
          <w:sz w:val="20"/>
        </w:rPr>
        <w:t xml:space="preserve">. All documents and other matters required by any of the provisions of this Agreement to be submitted or furnished to a Purchaser shall be in form and substance satisfactory to such Purchaser. </w:t>
      </w:r>
    </w:p>
    <w:p>
      <w:pPr>
        <w:pStyle w:val="TextBody"/>
        <w:bidi w:val="0"/>
        <w:spacing w:before="240" w:after="0"/>
        <w:jc w:val="left"/>
        <w:rPr>
          <w:rFonts w:ascii="Times New Roman" w:hAnsi="Times New Roman"/>
          <w:sz w:val="20"/>
        </w:rPr>
      </w:pPr>
      <w:r>
        <w:rPr>
          <w:rFonts w:ascii="Times New Roman" w:hAnsi="Times New Roman"/>
          <w:b/>
          <w:sz w:val="20"/>
        </w:rPr>
        <w:t>7.8.</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This Agreement, the Indenture and the Notes, along with the exhibits thereto, constitute the entire agreement between the parties hereto with respect to the subject matter hereof and may not be modified or amended in any manner other than by supplemental written agreement executed by the parties hereto. No party, in entering into this Agreement, has relied upon any representation, warranty, covenant, condition or other term that is not set forth in this Agreement, the Indenture or the Notes. </w:t>
      </w:r>
    </w:p>
    <w:p>
      <w:pPr>
        <w:pStyle w:val="TextBody"/>
        <w:bidi w:val="0"/>
        <w:spacing w:before="240" w:after="0"/>
        <w:jc w:val="left"/>
        <w:rPr>
          <w:rFonts w:ascii="Times New Roman" w:hAnsi="Times New Roman"/>
          <w:sz w:val="20"/>
        </w:rPr>
      </w:pPr>
      <w:r>
        <w:rPr>
          <w:rFonts w:ascii="Times New Roman" w:hAnsi="Times New Roman"/>
          <w:b/>
          <w:sz w:val="20"/>
        </w:rPr>
        <w:t>7.9.</w:t>
      </w:r>
      <w:r>
        <w:rPr>
          <w:rFonts w:ascii="Times New Roman" w:hAnsi="Times New Roman"/>
          <w:sz w:val="20"/>
        </w:rPr>
        <w:t xml:space="preserve"> </w:t>
      </w:r>
      <w:r>
        <w:rPr>
          <w:rFonts w:ascii="Times New Roman" w:hAnsi="Times New Roman"/>
          <w:b/>
          <w:sz w:val="20"/>
          <w:u w:val="single"/>
        </w:rPr>
        <w:t>Choice of Law</w:t>
      </w:r>
      <w:r>
        <w:rPr>
          <w:rFonts w:ascii="Times New Roman" w:hAnsi="Times New Roman"/>
          <w:sz w:val="20"/>
        </w:rPr>
        <w:t xml:space="preserve">. This Agreement shall be governed by and construed in accordance with the laws of the State of New York without giving effect to its laws or principles of conflict of laws. Nothing herein shall be deemed to limit any rights, powers or privileges which a Purchaser may have pursuant to any law of the United States of America or any rule, regulation or order of any department or agency thereof and nothing herein shall be deemed to make unlawful any transaction or conduct by a Purchaser which is lawful pursuant to, or which is permitted by, any of the foregoing. </w:t>
      </w:r>
    </w:p>
    <w:p>
      <w:pPr>
        <w:pStyle w:val="TextBody"/>
        <w:bidi w:val="0"/>
        <w:spacing w:before="240" w:after="0"/>
        <w:jc w:val="left"/>
        <w:rPr>
          <w:rFonts w:ascii="Times New Roman" w:hAnsi="Times New Roman"/>
          <w:sz w:val="20"/>
        </w:rPr>
      </w:pPr>
      <w:r>
        <w:rPr>
          <w:rFonts w:ascii="Times New Roman" w:hAnsi="Times New Roman"/>
          <w:b/>
          <w:sz w:val="20"/>
        </w:rPr>
        <w:t>7.10.</w:t>
      </w:r>
      <w:r>
        <w:rPr>
          <w:rFonts w:ascii="Times New Roman" w:hAnsi="Times New Roman"/>
          <w:sz w:val="20"/>
        </w:rPr>
        <w:t xml:space="preserve"> </w:t>
      </w:r>
      <w:r>
        <w:rPr>
          <w:rFonts w:ascii="Times New Roman" w:hAnsi="Times New Roman"/>
          <w:b/>
          <w:sz w:val="20"/>
          <w:u w:val="single"/>
        </w:rPr>
        <w:t>No Third Party Beneficiary</w:t>
      </w:r>
      <w:r>
        <w:rPr>
          <w:rFonts w:ascii="Times New Roman" w:hAnsi="Times New Roman"/>
          <w:sz w:val="20"/>
        </w:rPr>
        <w:t xml:space="preserve">. This Agreement is made for the sole benefit of Company and the Purchasers, and no other person shall be deemed to have any privity of contract hereunder nor any right to rely hereon to any extent or for any purpose whatsoever, nor shall any other person have any right of action of any kind hereon or be deemed to be a third party beneficiary hereunder. </w:t>
      </w:r>
    </w:p>
    <w:p>
      <w:pPr>
        <w:pStyle w:val="TextBody"/>
        <w:bidi w:val="0"/>
        <w:spacing w:before="240" w:after="0"/>
        <w:jc w:val="left"/>
        <w:rPr>
          <w:rFonts w:ascii="Times New Roman" w:hAnsi="Times New Roman"/>
          <w:sz w:val="20"/>
        </w:rPr>
      </w:pPr>
      <w:r>
        <w:rPr>
          <w:rFonts w:ascii="Times New Roman" w:hAnsi="Times New Roman"/>
          <w:b/>
          <w:sz w:val="20"/>
        </w:rPr>
        <w:t>7.11.</w:t>
      </w:r>
      <w:r>
        <w:rPr>
          <w:rFonts w:ascii="Times New Roman" w:hAnsi="Times New Roman"/>
          <w:sz w:val="20"/>
        </w:rPr>
        <w:t xml:space="preserve"> </w:t>
      </w:r>
      <w:r>
        <w:rPr>
          <w:rFonts w:ascii="Times New Roman" w:hAnsi="Times New Roman"/>
          <w:b/>
          <w:sz w:val="20"/>
          <w:u w:val="single"/>
        </w:rPr>
        <w:t>Legal Tender of United States</w:t>
      </w:r>
      <w:r>
        <w:rPr>
          <w:rFonts w:ascii="Times New Roman" w:hAnsi="Times New Roman"/>
          <w:sz w:val="20"/>
        </w:rPr>
        <w:t xml:space="preserve">. All payments hereunder shall be made in coin or currency which at the time of payment is legal tender in the United States of America for public and private debts. </w:t>
      </w:r>
    </w:p>
    <w:p>
      <w:pPr>
        <w:pStyle w:val="TextBody"/>
        <w:bidi w:val="0"/>
        <w:spacing w:before="240" w:after="0"/>
        <w:jc w:val="left"/>
        <w:rPr>
          <w:rFonts w:ascii="Times New Roman" w:hAnsi="Times New Roman"/>
          <w:sz w:val="20"/>
        </w:rPr>
      </w:pPr>
      <w:r>
        <w:rPr>
          <w:rFonts w:ascii="Times New Roman" w:hAnsi="Times New Roman"/>
          <w:b/>
          <w:sz w:val="20"/>
        </w:rPr>
        <w:t>7.12.</w:t>
      </w:r>
      <w:r>
        <w:rPr>
          <w:rFonts w:ascii="Times New Roman" w:hAnsi="Times New Roman"/>
          <w:sz w:val="20"/>
        </w:rPr>
        <w:t xml:space="preserve"> </w:t>
      </w:r>
      <w:r>
        <w:rPr>
          <w:rFonts w:ascii="Times New Roman" w:hAnsi="Times New Roman"/>
          <w:b/>
          <w:sz w:val="20"/>
          <w:u w:val="single"/>
        </w:rPr>
        <w:t>Captions;</w:t>
      </w:r>
      <w:r>
        <w:rPr>
          <w:rFonts w:ascii="Times New Roman" w:hAnsi="Times New Roman"/>
          <w:sz w:val="20"/>
          <w:u w:val="single"/>
        </w:rPr>
        <w:t xml:space="preserve"> </w:t>
      </w:r>
      <w:r>
        <w:rPr>
          <w:rFonts w:ascii="Times New Roman" w:hAnsi="Times New Roman"/>
          <w:b/>
          <w:sz w:val="20"/>
          <w:u w:val="single"/>
        </w:rPr>
        <w:t>Counterparts</w:t>
      </w:r>
      <w:r>
        <w:rPr>
          <w:rFonts w:ascii="Times New Roman" w:hAnsi="Times New Roman"/>
          <w:sz w:val="20"/>
        </w:rPr>
        <w:t xml:space="preserve">. Captions contained in this Agreement in no way define, limit or extend the scope or intent of their respective provisions. This Agreement may be executed in any number of counterparts and by different parties hereto in separate counterparts, each of which when so executed and delivered shall be deemed to be an original and all of which taken together shall constitute but one and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signature page were an original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7.13.</w:t>
      </w:r>
      <w:r>
        <w:rPr>
          <w:rFonts w:ascii="Times New Roman" w:hAnsi="Times New Roman"/>
          <w:sz w:val="20"/>
        </w:rPr>
        <w:t xml:space="preserve"> </w:t>
      </w:r>
      <w:r>
        <w:rPr>
          <w:rFonts w:ascii="Times New Roman" w:hAnsi="Times New Roman"/>
          <w:b/>
          <w:sz w:val="20"/>
          <w:u w:val="single"/>
        </w:rPr>
        <w:t>Knowledge; Discretion</w:t>
      </w:r>
      <w:r>
        <w:rPr>
          <w:rFonts w:ascii="Times New Roman" w:hAnsi="Times New Roman"/>
          <w:sz w:val="20"/>
        </w:rPr>
        <w:t xml:space="preserve">. All references herein to a Purchaser’s or Company’s knowledge shall be deemed to mean the knowledge of such party based on the actual knowledge of such party’s Chief Executive Officer, Chief Operating/Investment Officer, and Chief Financial Officer or such other persons holding equivalent offices. Unless specified to the contrary herein, all references herein to an exercise of discretion or judgment by a Purchaser, to the making of a determination or designation by a Purchaser, to the application of a Purchaser’s discretion or opinion, to the granting or withholding of a Purchaser’s consent or approval, to the consideration of whether a matter or thing is satisfactory or acceptable to a Purchaser, or otherwise involving the decision making of a Purchaser, shall be deemed to mean that such Purchaser shall decide using the reasonable discretion or judgment of a prudent lender. </w:t>
      </w:r>
    </w:p>
    <w:p>
      <w:pPr>
        <w:pStyle w:val="TextBody"/>
        <w:bidi w:val="0"/>
        <w:spacing w:before="240" w:after="0"/>
        <w:jc w:val="left"/>
        <w:rPr>
          <w:rFonts w:ascii="Times New Roman" w:hAnsi="Times New Roman"/>
          <w:sz w:val="20"/>
        </w:rPr>
      </w:pPr>
      <w:r>
        <w:rPr>
          <w:rFonts w:ascii="Times New Roman" w:hAnsi="Times New Roman"/>
          <w:b/>
          <w:sz w:val="20"/>
        </w:rPr>
        <w:t>7.14.</w:t>
      </w:r>
      <w:r>
        <w:rPr>
          <w:rFonts w:ascii="Times New Roman" w:hAnsi="Times New Roman"/>
          <w:sz w:val="20"/>
        </w:rPr>
        <w:t xml:space="preserve"> </w:t>
      </w:r>
      <w:r>
        <w:rPr>
          <w:rFonts w:ascii="Times New Roman" w:hAnsi="Times New Roman"/>
          <w:b/>
          <w:sz w:val="20"/>
          <w:u w:val="single"/>
        </w:rPr>
        <w:t>Waiver Of Right To Jury Trial</w:t>
      </w:r>
      <w:r>
        <w:rPr>
          <w:rFonts w:ascii="Times New Roman" w:hAnsi="Times New Roman"/>
          <w:sz w:val="20"/>
        </w:rPr>
        <w:t xml:space="preserve">. TO THE EXTENT PERMITTED UNDER APPLICABLE LAW, THE PARTIES HEREBY KNOWINGLY, VOLUNTARILY AND INTENTIONALLY WAIVE ANY RIGHT THAT THEY MAY HAVE TO A TRIAL BY JURY IN ANY LITIGATION ARISING IN ANY WAY IN CONNECTION WITH ANY OF THE TRANSACTION DOCUMENTS, OR ANY OTHER STATEMENTS OR ACTIONS OF COMPANY OR PURCHASERS. THE PARTIES ACKNOWLEDGE THAT THEY HAVE BEEN REPRESENTED IN THE SIGNING OF THIS AGREEMENT AND IN THE MAKING OF THIS WAIVER BY INDEPENDENT LEGAL COUNSEL SELECTED OF THEIR OWN FREE WILL. THE PARTIES FURTHER ACKNOWLEDGE THAT (I) THEY HAVE READ AND UNDERSTAND THE MEANING AND RAMIFICATIONS OF THIS WAIVER, (II) THIS WAIVER HAS BEEN REVIEWED BY THE PARTIES AND THEIR COUNSEL AND IS A MATERIAL INDUCEMENT FOR ENTRY INTO THIS AGREEMENT AND (III) THIS WAIVER SHALL BE EFFECTIVE AS TO EACH OF SUCH TRANSACTION DOCUMENTS AS IF FULLY INCORPORATED THEREIN. </w:t>
      </w:r>
    </w:p>
    <w:p>
      <w:pPr>
        <w:pStyle w:val="TextBody"/>
        <w:bidi w:val="0"/>
        <w:spacing w:before="240" w:after="0"/>
        <w:jc w:val="left"/>
        <w:rPr>
          <w:rFonts w:ascii="Times New Roman" w:hAnsi="Times New Roman"/>
          <w:sz w:val="20"/>
        </w:rPr>
      </w:pPr>
      <w:r>
        <w:rPr>
          <w:rFonts w:ascii="Times New Roman" w:hAnsi="Times New Roman"/>
          <w:b/>
          <w:sz w:val="20"/>
        </w:rPr>
        <w:t>7.15.</w:t>
      </w:r>
      <w:r>
        <w:rPr>
          <w:rFonts w:ascii="Times New Roman" w:hAnsi="Times New Roman"/>
          <w:sz w:val="20"/>
        </w:rPr>
        <w:t xml:space="preserve"> </w:t>
      </w:r>
      <w:r>
        <w:rPr>
          <w:rFonts w:ascii="Times New Roman" w:hAnsi="Times New Roman"/>
          <w:b/>
          <w:sz w:val="20"/>
          <w:u w:val="single"/>
        </w:rPr>
        <w:t>Expenses</w:t>
      </w:r>
      <w:r>
        <w:rPr>
          <w:rFonts w:ascii="Times New Roman" w:hAnsi="Times New Roman"/>
          <w:sz w:val="20"/>
        </w:rPr>
        <w:t xml:space="preserve">. Company hereby agrees to reimburse each Purchaser for its out-of- pocket expenses incurred in connection with the transactions contemplated hereby, including all expenses incurred in connection with its due diligence examination of the Company, the preparation and negotiation of the Transaction Documents, including the reasonable fees and expenses of special counsel to Lucid in an amount not to exceed $10,000. </w:t>
      </w:r>
    </w:p>
    <w:p>
      <w:pPr>
        <w:pStyle w:val="TextBody"/>
        <w:bidi w:val="0"/>
        <w:spacing w:before="240" w:after="0"/>
        <w:jc w:val="left"/>
        <w:rPr>
          <w:rFonts w:ascii="Times New Roman" w:hAnsi="Times New Roman"/>
          <w:sz w:val="20"/>
        </w:rPr>
      </w:pPr>
      <w:r>
        <w:rPr>
          <w:rFonts w:ascii="Times New Roman" w:hAnsi="Times New Roman"/>
          <w:b/>
          <w:sz w:val="20"/>
        </w:rPr>
        <w:t>7.16.</w:t>
      </w:r>
      <w:r>
        <w:rPr>
          <w:rFonts w:ascii="Times New Roman" w:hAnsi="Times New Roman"/>
          <w:sz w:val="20"/>
        </w:rPr>
        <w:t xml:space="preserve"> </w:t>
      </w:r>
      <w:r>
        <w:rPr>
          <w:rFonts w:ascii="Times New Roman" w:hAnsi="Times New Roman"/>
          <w:b/>
          <w:sz w:val="20"/>
          <w:u w:val="single"/>
        </w:rPr>
        <w:t>Survival</w:t>
      </w:r>
      <w:r>
        <w:rPr>
          <w:rFonts w:ascii="Times New Roman" w:hAnsi="Times New Roman"/>
          <w:sz w:val="20"/>
        </w:rPr>
        <w:t xml:space="preserve">. Each of the representations and warranties set forth in this Agreement shall survive the consummation of the transactions contemplated hereby for a period of one year after the date hereof. Except as otherwise provided herein, all covenants and agreements contained herein shall survive until, by their respective terms, they are no longer operative.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Company has caused this Note Purchase Agreement to be executed by its duly authorized representative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BCP INVESTMENT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Satoren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Brandon Satoren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Financial Officer,</w:t>
              <w:br/>
              <w:t>Secretary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Note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Purchaser has caused this Note Purchase Agreement to be executed by its duly authorized representative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Holbrook Holdings,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On behalf of the applicable Purchaser(s) listed on </w:t>
            </w:r>
            <w:r>
              <w:rPr>
                <w:u w:val="single"/>
              </w:rPr>
              <w:t>Appendix A</w:t>
            </w:r>
            <w:r>
              <w:rPr/>
              <w:t xml:space="preserve"> hereto</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Carmack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Name: Scott Carmack</w:t>
            </w:r>
          </w:p>
          <w:p>
            <w:pPr>
              <w:pStyle w:val="TableContents"/>
              <w:bidi w:val="0"/>
              <w:spacing w:before="0" w:after="20"/>
              <w:jc w:val="left"/>
              <w:rPr>
                <w:rFonts w:ascii="Times New Roman" w:hAnsi="Times New Roman"/>
                <w:sz w:val="20"/>
              </w:rPr>
            </w:pPr>
            <w:r>
              <w:rPr>
                <w:rFonts w:ascii="Times New Roman" w:hAnsi="Times New Roman"/>
                <w:sz w:val="20"/>
              </w:rPr>
              <w:t>Title: CEO</w:t>
            </w:r>
          </w:p>
        </w:tc>
      </w:tr>
    </w:tbl>
    <w:p>
      <w:pPr>
        <w:pStyle w:val="TextBody"/>
        <w:bidi w:val="0"/>
        <w:spacing w:before="0" w:after="0"/>
        <w:jc w:val="left"/>
        <w:rPr/>
      </w:pPr>
      <w:r>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[Purchaser Signature Page to Note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240" w:after="0"/>
        <w:jc w:val="left"/>
        <w:rPr>
          <w:rFonts w:ascii="Times New Roman" w:hAnsi="Times New Roman"/>
          <w:b/>
          <w:sz w:val="20"/>
        </w:rPr>
      </w:pPr>
      <w:r>
        <w:rPr>
          <w:rFonts w:ascii="Times New Roman" w:hAnsi="Times New Roman"/>
          <w:b/>
          <w:sz w:val="20"/>
        </w:rPr>
        <w:t xml:space="preserve">Address: 3225 Cumberland Blvd SE Suite 100, Atlanta, GA 30339 </w:t>
      </w:r>
    </w:p>
    <w:p>
      <w:pPr>
        <w:pStyle w:val="TextBody"/>
        <w:bidi w:val="0"/>
        <w:spacing w:before="240" w:after="0"/>
        <w:jc w:val="center"/>
        <w:rPr>
          <w:rFonts w:ascii="Times New Roman" w:hAnsi="Times New Roman"/>
          <w:sz w:val="20"/>
        </w:rPr>
      </w:pPr>
      <w:r>
        <w:rPr>
          <w:rFonts w:ascii="Times New Roman" w:hAnsi="Times New Roman"/>
          <w:sz w:val="20"/>
        </w:rPr>
        <w:t xml:space="preserve">[Redacted]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72807/000119312526122220/d114630dex41.htm" TargetMode="External"/><Relationship Id="rId3" Type="http://schemas.openxmlformats.org/officeDocument/2006/relationships/hyperlink" Target="http://www.sec.gov/Archives/edgar/data/1372807/000119312526122220/d114630dex41.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10601</Words>
  <Characters>56680</Characters>
  <CharactersWithSpaces>67319</CharactersWithSpaces>
  <Paragraphs>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