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File No. 812-15897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00" w:lineRule="exact"/>
        <w:rPr>
          <w:sz w:val="24"/>
          <w:szCs w:val="24"/>
          <w:color w:val="auto"/>
        </w:rPr>
      </w:pPr>
    </w:p>
    <w:p>
      <w:pPr>
        <w:spacing w:after="0" w:line="237" w:lineRule="exact"/>
        <w:rPr>
          <w:sz w:val="24"/>
          <w:szCs w:val="24"/>
          <w:color w:val="auto"/>
        </w:rPr>
      </w:pPr>
    </w:p>
    <w:p>
      <w:pPr>
        <w:jc w:val="center"/>
        <w:ind w:left="460"/>
        <w:spacing w:after="0" w:line="278" w:lineRule="auto"/>
        <w:rPr>
          <w:sz w:val="20"/>
          <w:szCs w:val="20"/>
          <w:color w:val="auto"/>
        </w:rPr>
      </w:pPr>
      <w:r>
        <w:rPr>
          <w:rFonts w:ascii="Times New Roman" w:cs="Times New Roman" w:eastAsia="Times New Roman" w:hAnsi="Times New Roman"/>
          <w:sz w:val="17"/>
          <w:szCs w:val="17"/>
          <w:b w:val="1"/>
          <w:bCs w:val="1"/>
          <w:color w:val="auto"/>
        </w:rPr>
        <w:t>BC PARTNERS LENDING CORPORATION, BCP INVESTMENT CORPORATION, BCP SPECIALTY FINANCE FUND ORIGINATIONS SERIES I LLC, BCP SPECIALTY FINANCE FUND HOLDINGS SERIES I LLC, ALTERNATIVE CREDIT INCOME FUND,</w:t>
      </w:r>
    </w:p>
    <w:p>
      <w:pPr>
        <w:spacing w:after="0" w:line="1" w:lineRule="exact"/>
        <w:rPr>
          <w:sz w:val="24"/>
          <w:szCs w:val="24"/>
          <w:color w:val="auto"/>
        </w:rPr>
      </w:pPr>
    </w:p>
    <w:p>
      <w:pPr>
        <w:jc w:val="center"/>
        <w:ind w:left="460"/>
        <w:spacing w:after="0" w:line="251" w:lineRule="auto"/>
        <w:rPr>
          <w:sz w:val="20"/>
          <w:szCs w:val="20"/>
          <w:color w:val="auto"/>
        </w:rPr>
      </w:pPr>
      <w:r>
        <w:rPr>
          <w:rFonts w:ascii="Times New Roman" w:cs="Times New Roman" w:eastAsia="Times New Roman" w:hAnsi="Times New Roman"/>
          <w:sz w:val="18"/>
          <w:szCs w:val="18"/>
          <w:b w:val="1"/>
          <w:bCs w:val="1"/>
          <w:color w:val="auto"/>
        </w:rPr>
        <w:t>OPPORTUNISTIC CREDIT INTERVAL FUND, MOUNT LOGAN CAPITAL INC., BC PARTNERS ADVISORS L.P., SIERRA CREST INVESTMENT MANAGEMENT LLC, MOUNT LOGAN MANAGEMENT, LLC, BCP SPECIAL OPPORTUNITIES FUND II EUR HOLDINGS LP, BCP SPECIAL OPPORTUNITIES FUND II HOLDINGS LP, BCP SPECIAL OPPORTUNITIES FUND II ORIGINATIONS LP, BCP SPECIAL OPPORTUNITIES FUND III HOLDINGS LP, BCP SPECIAL OPPORTUNITIES FUND III ORIGINATIONS LP, GARRISON MML CLO 2019-1 LLC, MOUNT LOGAN FUNDING 2018-1 LP, MOUNT LOGAN MML CLO 2019-1 LP, ABILITY INSURANCE COMPANY, BLUE SKY CREDIT FUND LP, GREAT LAKES BCPL FUNDING LTD., BCPL SUB HOLDINGS LLC, KOHLBERG CAPITAL FUNDING LLC I, PTMN SUB HOLDINGS LLC, GARRISON CAPITAL EQUITY HOLDINGS II LLC, GARRISON CAPITAL EQUITY HOLDINGS VIII LLC, GARRISON CAPITAL EQUITY HOLDINGS XI LLC, GIG ROOSTER HOLDINGS I LLC, KCAP FREEDOM 3, LLC, HCAP EQUITY HOLDINGS, LLC, CPTA MASTER BLOCKER, INC., CAPITALA BUSINESS LENDING, LLC, ACIF MASTER BLOCKER, LLC, CIF INVESTMENTS LLC, SOFIX MASTER BLOCKER, LLC, GREAT LAKES KCAP FUNDING I, LLC, GREAT LAKES FUNDING II LLC, GREAT LAKES PORTMAN RIDGE FUNDING I, LLC, RUNWAY GROWTH FINANCE CORP., RUNWAY GROWTH FINANCE L.P., RUNWAY GROWTH CAPITAL LLC, CORNHUSKER FUNDING 1A LLC, CORNHUSKER FUNDING 1B LLC, CORNHUSKER FUNDING 1C LLC, SPARROWHAWK RE SPC</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650 Madison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 891-2880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left="460" w:right="380"/>
        <w:spacing w:after="0" w:line="261" w:lineRule="auto"/>
        <w:rPr>
          <w:sz w:val="20"/>
          <w:szCs w:val="20"/>
          <w:color w:val="auto"/>
        </w:rPr>
      </w:pPr>
      <w:r>
        <w:rPr>
          <w:rFonts w:ascii="Times New Roman" w:cs="Times New Roman" w:eastAsia="Times New Roman" w:hAnsi="Times New Roman"/>
          <w:sz w:val="18"/>
          <w:szCs w:val="18"/>
          <w:color w:val="auto"/>
        </w:rPr>
        <w:t>AMENDMENT NO. 1 TO THE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tbl>
      <w:tblPr>
        <w:tblLayout w:type="fixed"/>
        <w:tblInd w:w="1900" w:type="dxa"/>
        <w:tblCellMar>
          <w:top w:w="0" w:type="dxa"/>
          <w:left w:w="0" w:type="dxa"/>
          <w:bottom w:w="0" w:type="dxa"/>
          <w:right w:w="0" w:type="dxa"/>
        </w:tblCellMar>
      </w:tblPr>
      <w:tr>
        <w:trPr>
          <w:trHeight w:val="236"/>
        </w:trPr>
        <w:tc>
          <w:tcPr>
            <w:tcW w:w="1880" w:type="dxa"/>
            <w:vAlign w:val="bottom"/>
          </w:tcPr>
          <w:p>
            <w:pPr>
              <w:spacing w:after="0"/>
              <w:rPr>
                <w:sz w:val="20"/>
                <w:szCs w:val="20"/>
                <w:color w:val="auto"/>
              </w:rPr>
            </w:pPr>
          </w:p>
        </w:tc>
        <w:tc>
          <w:tcPr>
            <w:tcW w:w="5600" w:type="dxa"/>
            <w:vAlign w:val="bottom"/>
            <w:gridSpan w:val="3"/>
          </w:tcPr>
          <w:p>
            <w:pPr>
              <w:jc w:val="center"/>
              <w:ind w:right="2050"/>
              <w:spacing w:after="0"/>
              <w:rPr>
                <w:sz w:val="20"/>
                <w:szCs w:val="20"/>
                <w:color w:val="auto"/>
              </w:rPr>
            </w:pPr>
            <w:r>
              <w:rPr>
                <w:rFonts w:ascii="Times New Roman" w:cs="Times New Roman" w:eastAsia="Times New Roman" w:hAnsi="Times New Roman"/>
                <w:sz w:val="18"/>
                <w:szCs w:val="18"/>
                <w:i w:val="1"/>
                <w:iCs w:val="1"/>
                <w:color w:val="auto"/>
                <w:w w:val="99"/>
              </w:rPr>
              <w:t>All Communications, Notices and Orders to:</w:t>
            </w:r>
          </w:p>
        </w:tc>
      </w:tr>
      <w:tr>
        <w:trPr>
          <w:trHeight w:val="410"/>
        </w:trPr>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gridSpan w:val="2"/>
          </w:tcPr>
          <w:p>
            <w:pPr>
              <w:jc w:val="center"/>
              <w:ind w:right="2610"/>
              <w:spacing w:after="0"/>
              <w:rPr>
                <w:sz w:val="20"/>
                <w:szCs w:val="20"/>
                <w:color w:val="auto"/>
              </w:rPr>
            </w:pPr>
            <w:r>
              <w:rPr>
                <w:rFonts w:ascii="Times New Roman" w:cs="Times New Roman" w:eastAsia="Times New Roman" w:hAnsi="Times New Roman"/>
                <w:sz w:val="18"/>
                <w:szCs w:val="18"/>
                <w:b w:val="1"/>
                <w:bCs w:val="1"/>
                <w:color w:val="auto"/>
                <w:w w:val="98"/>
              </w:rPr>
              <w:t>Ted Goldthorpe</w:t>
            </w:r>
          </w:p>
        </w:tc>
      </w:tr>
      <w:tr>
        <w:trPr>
          <w:trHeight w:val="216"/>
        </w:trPr>
        <w:tc>
          <w:tcPr>
            <w:tcW w:w="1880" w:type="dxa"/>
            <w:vAlign w:val="bottom"/>
          </w:tcPr>
          <w:p>
            <w:pPr>
              <w:spacing w:after="0"/>
              <w:rPr>
                <w:sz w:val="18"/>
                <w:szCs w:val="18"/>
                <w:color w:val="auto"/>
              </w:rPr>
            </w:pPr>
          </w:p>
        </w:tc>
        <w:tc>
          <w:tcPr>
            <w:tcW w:w="5600" w:type="dxa"/>
            <w:vAlign w:val="bottom"/>
            <w:gridSpan w:val="3"/>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BC Partners Lending Corporation</w:t>
            </w:r>
          </w:p>
        </w:tc>
      </w:tr>
      <w:tr>
        <w:trPr>
          <w:trHeight w:val="216"/>
        </w:trPr>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gridSpan w:val="2"/>
          </w:tcPr>
          <w:p>
            <w:pPr>
              <w:jc w:val="center"/>
              <w:ind w:right="2630"/>
              <w:spacing w:after="0"/>
              <w:rPr>
                <w:sz w:val="20"/>
                <w:szCs w:val="20"/>
                <w:color w:val="auto"/>
              </w:rPr>
            </w:pPr>
            <w:r>
              <w:rPr>
                <w:rFonts w:ascii="Times New Roman" w:cs="Times New Roman" w:eastAsia="Times New Roman" w:hAnsi="Times New Roman"/>
                <w:sz w:val="18"/>
                <w:szCs w:val="18"/>
                <w:b w:val="1"/>
                <w:bCs w:val="1"/>
                <w:color w:val="auto"/>
                <w:w w:val="99"/>
              </w:rPr>
              <w:t>650 Madison Avenue</w:t>
            </w:r>
          </w:p>
        </w:tc>
      </w:tr>
      <w:tr>
        <w:trPr>
          <w:trHeight w:val="216"/>
        </w:trPr>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gridSpan w:val="2"/>
          </w:tcPr>
          <w:p>
            <w:pPr>
              <w:jc w:val="center"/>
              <w:ind w:right="2630"/>
              <w:spacing w:after="0"/>
              <w:rPr>
                <w:sz w:val="20"/>
                <w:szCs w:val="20"/>
                <w:color w:val="auto"/>
              </w:rPr>
            </w:pPr>
            <w:r>
              <w:rPr>
                <w:rFonts w:ascii="Times New Roman" w:cs="Times New Roman" w:eastAsia="Times New Roman" w:hAnsi="Times New Roman"/>
                <w:sz w:val="18"/>
                <w:szCs w:val="18"/>
                <w:b w:val="1"/>
                <w:bCs w:val="1"/>
                <w:color w:val="auto"/>
                <w:w w:val="98"/>
              </w:rPr>
              <w:t>New York, New York 10022</w:t>
            </w:r>
          </w:p>
        </w:tc>
      </w:tr>
      <w:tr>
        <w:trPr>
          <w:trHeight w:val="238"/>
        </w:trPr>
        <w:tc>
          <w:tcPr>
            <w:tcW w:w="1880" w:type="dxa"/>
            <w:vAlign w:val="bottom"/>
          </w:tcPr>
          <w:p>
            <w:pPr>
              <w:spacing w:after="0"/>
              <w:rPr>
                <w:sz w:val="20"/>
                <w:szCs w:val="20"/>
                <w:color w:val="auto"/>
              </w:rPr>
            </w:pPr>
          </w:p>
        </w:tc>
        <w:tc>
          <w:tcPr>
            <w:tcW w:w="28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(212) 891-2880</w:t>
            </w:r>
          </w:p>
        </w:tc>
        <w:tc>
          <w:tcPr>
            <w:tcW w:w="2720" w:type="dxa"/>
            <w:vAlign w:val="bottom"/>
          </w:tcPr>
          <w:p>
            <w:pPr>
              <w:spacing w:after="0"/>
              <w:rPr>
                <w:sz w:val="20"/>
                <w:szCs w:val="20"/>
                <w:color w:val="auto"/>
              </w:rPr>
            </w:pPr>
          </w:p>
        </w:tc>
      </w:tr>
      <w:tr>
        <w:trPr>
          <w:trHeight w:val="351"/>
        </w:trPr>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r>
      <w:tr>
        <w:trPr>
          <w:trHeight w:val="425"/>
        </w:trPr>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gridSpan w:val="2"/>
          </w:tcPr>
          <w:p>
            <w:pPr>
              <w:jc w:val="center"/>
              <w:ind w:right="2610"/>
              <w:spacing w:after="0"/>
              <w:rPr>
                <w:sz w:val="20"/>
                <w:szCs w:val="20"/>
                <w:color w:val="auto"/>
              </w:rPr>
            </w:pPr>
            <w:r>
              <w:rPr>
                <w:rFonts w:ascii="Times New Roman" w:cs="Times New Roman" w:eastAsia="Times New Roman" w:hAnsi="Times New Roman"/>
                <w:sz w:val="18"/>
                <w:szCs w:val="18"/>
                <w:i w:val="1"/>
                <w:iCs w:val="1"/>
                <w:color w:val="auto"/>
                <w:w w:val="99"/>
              </w:rPr>
              <w:t>Copies to:</w:t>
            </w:r>
          </w:p>
        </w:tc>
      </w:tr>
      <w:tr>
        <w:trPr>
          <w:trHeight w:val="437"/>
        </w:trPr>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Harry S. Pangas</w:t>
            </w: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Alexander C. Karampatsos</w:t>
            </w:r>
          </w:p>
        </w:tc>
      </w:tr>
      <w:tr>
        <w:trPr>
          <w:trHeight w:val="216"/>
        </w:trPr>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Dechert LLP</w:t>
            </w: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Dechert LLP</w:t>
            </w:r>
          </w:p>
        </w:tc>
      </w:tr>
      <w:tr>
        <w:trPr>
          <w:trHeight w:val="216"/>
        </w:trPr>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1900 K Street, NW</w:t>
            </w: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1900 K Street, NW</w:t>
            </w:r>
          </w:p>
        </w:tc>
      </w:tr>
      <w:tr>
        <w:trPr>
          <w:trHeight w:val="216"/>
        </w:trPr>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Washington, DC 20006</w:t>
            </w: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Washington, DC 20006</w:t>
            </w:r>
          </w:p>
        </w:tc>
      </w:tr>
      <w:tr>
        <w:trPr>
          <w:trHeight w:val="238"/>
        </w:trPr>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 261-3466</w:t>
            </w:r>
          </w:p>
        </w:tc>
        <w:tc>
          <w:tcPr>
            <w:tcW w:w="560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(202) 261-3402</w:t>
            </w:r>
          </w:p>
        </w:tc>
      </w:tr>
      <w:tr>
        <w:trPr>
          <w:trHeight w:val="378"/>
        </w:trPr>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720" w:type="dxa"/>
            <w:vAlign w:val="bottom"/>
          </w:tcPr>
          <w:p>
            <w:pPr>
              <w:spacing w:after="0"/>
              <w:rPr>
                <w:sz w:val="24"/>
                <w:szCs w:val="24"/>
                <w:color w:val="auto"/>
              </w:rPr>
            </w:pPr>
          </w:p>
        </w:tc>
      </w:tr>
      <w:tr>
        <w:trPr>
          <w:trHeight w:val="425"/>
        </w:trPr>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gridSpan w:val="2"/>
          </w:tcPr>
          <w:p>
            <w:pPr>
              <w:jc w:val="center"/>
              <w:ind w:right="2630"/>
              <w:spacing w:after="0"/>
              <w:rPr>
                <w:sz w:val="20"/>
                <w:szCs w:val="20"/>
                <w:color w:val="auto"/>
              </w:rPr>
            </w:pPr>
            <w:r>
              <w:rPr>
                <w:rFonts w:ascii="Times New Roman" w:cs="Times New Roman" w:eastAsia="Times New Roman" w:hAnsi="Times New Roman"/>
                <w:sz w:val="18"/>
                <w:szCs w:val="18"/>
                <w:color w:val="auto"/>
                <w:w w:val="99"/>
              </w:rPr>
              <w:t>June 18, 2026</w:t>
            </w:r>
          </w:p>
        </w:tc>
      </w:tr>
    </w:tbl>
    <w:p>
      <w:pPr>
        <w:sectPr>
          <w:pgSz w:w="11900" w:h="16838" w:orient="portrait"/>
          <w:cols w:equalWidth="0" w:num="1">
            <w:col w:w="10980"/>
          </w:cols>
          <w:pgMar w:left="440" w:top="229" w:right="4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175895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MATTER OF</w:t>
      </w:r>
    </w:p>
    <w:p>
      <w:pPr>
        <w:spacing w:after="0" w:line="25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color w:val="auto"/>
        </w:rPr>
        <w:t>BC PARTNERS LENDING CORPORATION, BCP INVESTMENT CORPORATION, BCP SPECIALTY FINANCE FUND ORIGINATIONS SERIES I LLC, BCP SPECIALTY FINANCE FUND HOLDINGS SERIES I LLC, ALTERNATIVE CREDIT INCOME FUND, OPPORTUNISTIC CREDIT INTERVAL FUND, MOUNT LOGAN CAPITAL INC., BC PARTNERS ADVISORS L.P., SIERRA CREST INVESTMENT MANAGEMENT LLC, MOUNT LOGAN MANAGEMENT, LLC, BCP SPECIAL OPPORTUNITIES FUND II EUR HOLDINGS LP, BCP SPECIAL OPPORTUNITIES FUND II HOLDINGS LP, BCP SPECIAL OPPORTUNITIES FUND II ORIGINATIONS LP, BCP SPECIAL OPPORTUNITIES FUND III HOLDINGS LP, BCP SPECIAL OPPORTUNITIES FUND III ORIGINATIONS LP, GARRISON MML CLO 2019-1 LLC, MOUNT LOGAN FUNDING 2018-1 LP, MOUNT LOGAN MML CLO 2019-1</w:t>
      </w:r>
    </w:p>
    <w:p>
      <w:pPr>
        <w:spacing w:after="0" w:line="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LP, ABILITY INSURANCE COMPANY, BLUE SKY CREDIT FUND LP, GREAT LAKES BCPL FUNDING LTD., BCPL SUB HOLDINGS LLC, KOHLBERG CAPITAL FUNDING LLC I, PTMN SUB HOLDINGS LLC, GARRISON CAPITAL EQUITY HOLDINGS II LLC, GARRISON CAPITAL EQUITY HOLDINGS VIII LLC, GARRISON CAPITAL EQUITY HOLDINGS XI LLC, GIG ROOSTER HOLDINGS I LLC, KCAP FREEDOM 3, LLC, HCAP EQUITY HOLDINGS, LLC, CPTA MASTER BLOCKER, INC., CAPITALA BUSINESS LENDING, LLC, ACIF MASTER BLOCKER, LLC, CIF INVESTMENTS LLC, SOFIX MASTER BLOCKER, LLC, GREAT LAKES KCAP FUNDING I, LLC, GREAT LAKES FUNDING II LLC, GREAT LAKES PORTMAN RIDGE FUNDING I, LLC, RUNWAY GROWTH FINANCE CORP., RUNWAY GROWTH FINANCE L.P., RUNWAY GROWTH CAPITAL LLC, CORNHUSKER FUNDING 1A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220" w:hanging="215"/>
        <w:spacing w:after="0"/>
        <w:tabs>
          <w:tab w:leader="none" w:pos="22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 NO. 1 TO THE APPLICATION FOR AN ORDER</w:t>
      </w:r>
    </w:p>
    <w:p>
      <w:pPr>
        <w:spacing w:after="0" w:line="42" w:lineRule="exact"/>
        <w:rPr>
          <w:rFonts w:ascii="Times New Roman" w:cs="Times New Roman" w:eastAsia="Times New Roman" w:hAnsi="Times New Roman"/>
          <w:sz w:val="17"/>
          <w:szCs w:val="17"/>
          <w:b w:val="1"/>
          <w:bCs w:val="1"/>
          <w:color w:val="auto"/>
        </w:rPr>
      </w:pPr>
    </w:p>
    <w:p>
      <w:pPr>
        <w:ind w:left="220" w:hanging="215"/>
        <w:spacing w:after="0"/>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PURSUANT TO SECTIONS 17(d) AND 57(i) OF THE</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COMPANY ACT OF 1940 AND RULE 17d-1</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 THE INVESTMENT COMPANY ACT OF 1940</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PERMITTING CERTAIN JOINT TRANSACTIONS</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OTHERWISE PROHIBITED BY SECTIONS 17(d) AND 57(a)(4)</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AND RULE 17d-1 UNDER THE INVESTMENT COMPANY</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sectPr>
          <w:pgSz w:w="11900" w:h="16838" w:orient="portrait"/>
          <w:cols w:equalWidth="0" w:num="2">
            <w:col w:w="5520" w:space="100"/>
            <w:col w:w="5380"/>
          </w:cols>
          <w:pgMar w:left="440" w:top="266" w:right="459" w:bottom="1440" w:gutter="0" w:footer="0" w:header="0"/>
          <w:type w:val="continuous"/>
        </w:sectPr>
      </w:pP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0"/>
          </w:cols>
          <w:pgMar w:left="440" w:top="266" w:right="459" w:bottom="1440" w:gutter="0" w:footer="0" w:header="0"/>
          <w:type w:val="continuous"/>
        </w:sectPr>
      </w:pPr>
    </w:p>
    <w:bookmarkStart w:id="2" w:name="page3"/>
    <w:bookmarkEnd w:id="2"/>
    <w:p>
      <w:pPr>
        <w:ind w:left="4"/>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3497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7580" cy="8255"/>
                    </a:xfrm>
                    <a:prstGeom prst="rect">
                      <a:avLst/>
                    </a:prstGeom>
                    <a:noFill/>
                  </pic:spPr>
                </pic:pic>
              </a:graphicData>
            </a:graphic>
          </wp:anchor>
        </w:drawing>
        <w:t>CORNHUSKER FUNDING 1B LLC,</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CORNHUSKER FUNDING 1C LLC,</w:t>
      </w:r>
    </w:p>
    <w:p>
      <w:pPr>
        <w:ind w:left="4"/>
        <w:spacing w:after="0"/>
        <w:rPr>
          <w:sz w:val="20"/>
          <w:szCs w:val="20"/>
          <w:color w:val="auto"/>
        </w:rPr>
      </w:pPr>
      <w:r>
        <w:rPr>
          <w:rFonts w:ascii="Times New Roman" w:cs="Times New Roman" w:eastAsia="Times New Roman" w:hAnsi="Times New Roman"/>
          <w:sz w:val="20"/>
          <w:szCs w:val="20"/>
          <w:b w:val="1"/>
          <w:bCs w:val="1"/>
          <w:color w:val="auto"/>
        </w:rPr>
        <w:t>SPARROWHAWK RE SPC</w:t>
      </w:r>
    </w:p>
    <w:p>
      <w:pPr>
        <w:spacing w:after="0" w:line="2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650 MADISON AVENUE</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NEW YORK, NEW YORK 10022</w:t>
      </w:r>
    </w:p>
    <w:p>
      <w:pPr>
        <w:spacing w:after="0" w:line="2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File No. 812-15897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APPLICATION</w:t>
      </w:r>
    </w:p>
    <w:p>
      <w:pPr>
        <w:spacing w:after="0" w:line="117" w:lineRule="exact"/>
        <w:rPr>
          <w:sz w:val="20"/>
          <w:szCs w:val="20"/>
          <w:color w:val="auto"/>
        </w:rPr>
      </w:pPr>
    </w:p>
    <w:p>
      <w:pPr>
        <w:ind w:left="4"/>
        <w:spacing w:after="0" w:line="217" w:lineRule="auto"/>
        <w:rPr>
          <w:sz w:val="20"/>
          <w:szCs w:val="20"/>
          <w:color w:val="auto"/>
        </w:rPr>
      </w:pPr>
      <w:r>
        <w:rPr>
          <w:rFonts w:ascii="Times New Roman" w:cs="Times New Roman" w:eastAsia="Times New Roman" w:hAnsi="Times New Roman"/>
          <w:sz w:val="18"/>
          <w:szCs w:val="18"/>
          <w:color w:val="auto"/>
        </w:rPr>
        <w:t>The following entities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17(d) and 57(i)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Rule 17d-1, permitting certain joint transactions otherwise prohibited by Sections 17(d) and 57(a)(4) of the 1940 Act and Rule 17d-1 thereunder. The Order would supersede the exemptive order issued by the Commission on April 10, 2023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that was granted pursuant to Sections 17(d) and 57(i) and Rule 17d-1, with the result that no person will continue to rely on the Prior Order if the Order is granted.</w:t>
      </w:r>
    </w:p>
    <w:p>
      <w:pPr>
        <w:spacing w:after="0" w:line="99" w:lineRule="exact"/>
        <w:rPr>
          <w:sz w:val="20"/>
          <w:szCs w:val="20"/>
          <w:color w:val="auto"/>
        </w:rPr>
      </w:pPr>
    </w:p>
    <w:p>
      <w:pPr>
        <w:ind w:left="964" w:hanging="424"/>
        <w:spacing w:after="0" w:line="28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 Partners Lending Corporation (“</w:t>
      </w:r>
      <w:r>
        <w:rPr>
          <w:rFonts w:ascii="Times New Roman" w:cs="Times New Roman" w:eastAsia="Times New Roman" w:hAnsi="Times New Roman"/>
          <w:sz w:val="18"/>
          <w:szCs w:val="18"/>
          <w:b w:val="1"/>
          <w:bCs w:val="1"/>
          <w:i w:val="1"/>
          <w:iCs w:val="1"/>
          <w:color w:val="auto"/>
        </w:rPr>
        <w:t>BCPL</w:t>
      </w:r>
      <w:r>
        <w:rPr>
          <w:rFonts w:ascii="Times New Roman" w:cs="Times New Roman" w:eastAsia="Times New Roman" w:hAnsi="Times New Roman"/>
          <w:sz w:val="18"/>
          <w:szCs w:val="18"/>
          <w:color w:val="auto"/>
        </w:rPr>
        <w:t>”), a closed-end management investment company that has elected to be regulated as a business development company (“</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under the 1940 Act;</w:t>
      </w:r>
    </w:p>
    <w:p>
      <w:pPr>
        <w:spacing w:after="0" w:line="60" w:lineRule="exact"/>
        <w:rPr>
          <w:rFonts w:ascii="Times New Roman" w:cs="Times New Roman" w:eastAsia="Times New Roman" w:hAnsi="Times New Roman"/>
          <w:sz w:val="18"/>
          <w:szCs w:val="18"/>
          <w:color w:val="auto"/>
        </w:rPr>
      </w:pPr>
    </w:p>
    <w:p>
      <w:pPr>
        <w:ind w:left="964" w:right="140" w:hanging="424"/>
        <w:spacing w:after="0" w:line="28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Investment Corporation (“</w:t>
      </w:r>
      <w:r>
        <w:rPr>
          <w:rFonts w:ascii="Times New Roman" w:cs="Times New Roman" w:eastAsia="Times New Roman" w:hAnsi="Times New Roman"/>
          <w:sz w:val="18"/>
          <w:szCs w:val="18"/>
          <w:b w:val="1"/>
          <w:bCs w:val="1"/>
          <w:i w:val="1"/>
          <w:iCs w:val="1"/>
          <w:color w:val="auto"/>
        </w:rPr>
        <w:t>BCIC</w:t>
      </w:r>
      <w:r>
        <w:rPr>
          <w:rFonts w:ascii="Times New Roman" w:cs="Times New Roman" w:eastAsia="Times New Roman" w:hAnsi="Times New Roman"/>
          <w:sz w:val="18"/>
          <w:szCs w:val="18"/>
          <w:color w:val="auto"/>
        </w:rPr>
        <w:t>”), a closed-end management investment company that has elected to be regulated as a BDC under the 1940 Act;</w:t>
      </w:r>
    </w:p>
    <w:p>
      <w:pPr>
        <w:spacing w:after="0" w:line="6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Credit Income Fund (“</w:t>
      </w:r>
      <w:r>
        <w:rPr>
          <w:rFonts w:ascii="Times New Roman" w:cs="Times New Roman" w:eastAsia="Times New Roman" w:hAnsi="Times New Roman"/>
          <w:sz w:val="18"/>
          <w:szCs w:val="18"/>
          <w:b w:val="1"/>
          <w:bCs w:val="1"/>
          <w:i w:val="1"/>
          <w:iCs w:val="1"/>
          <w:color w:val="auto"/>
        </w:rPr>
        <w:t>ACIF</w:t>
      </w:r>
      <w:r>
        <w:rPr>
          <w:rFonts w:ascii="Times New Roman" w:cs="Times New Roman" w:eastAsia="Times New Roman" w:hAnsi="Times New Roman"/>
          <w:sz w:val="18"/>
          <w:szCs w:val="18"/>
          <w:color w:val="auto"/>
        </w:rPr>
        <w:t>”), a closed-end management investment company registered under the 1940 Act;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 Credit Interval Fund (“</w:t>
      </w:r>
      <w:r>
        <w:rPr>
          <w:rFonts w:ascii="Times New Roman" w:cs="Times New Roman" w:eastAsia="Times New Roman" w:hAnsi="Times New Roman"/>
          <w:sz w:val="18"/>
          <w:szCs w:val="18"/>
          <w:b w:val="1"/>
          <w:bCs w:val="1"/>
          <w:i w:val="1"/>
          <w:iCs w:val="1"/>
          <w:color w:val="auto"/>
        </w:rPr>
        <w:t>OCIF</w:t>
      </w:r>
      <w:r>
        <w:rPr>
          <w:rFonts w:ascii="Times New Roman" w:cs="Times New Roman" w:eastAsia="Times New Roman" w:hAnsi="Times New Roman"/>
          <w:sz w:val="18"/>
          <w:szCs w:val="18"/>
          <w:color w:val="auto"/>
        </w:rPr>
        <w:t>”), a closed-end management investment company registered under the 1940 Act;</w:t>
      </w:r>
    </w:p>
    <w:p>
      <w:pPr>
        <w:spacing w:after="0" w:line="130" w:lineRule="exact"/>
        <w:rPr>
          <w:rFonts w:ascii="Times New Roman" w:cs="Times New Roman" w:eastAsia="Times New Roman" w:hAnsi="Times New Roman"/>
          <w:sz w:val="18"/>
          <w:szCs w:val="18"/>
          <w:color w:val="auto"/>
        </w:rPr>
      </w:pPr>
    </w:p>
    <w:p>
      <w:pPr>
        <w:ind w:left="964" w:right="140" w:hanging="424"/>
        <w:spacing w:after="0" w:line="28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Runway Growth Finance Corp. (“</w:t>
      </w:r>
      <w:r>
        <w:rPr>
          <w:rFonts w:ascii="Times New Roman" w:cs="Times New Roman" w:eastAsia="Times New Roman" w:hAnsi="Times New Roman"/>
          <w:sz w:val="18"/>
          <w:szCs w:val="18"/>
          <w:b w:val="1"/>
          <w:bCs w:val="1"/>
          <w:i w:val="1"/>
          <w:iCs w:val="1"/>
          <w:color w:val="auto"/>
        </w:rPr>
        <w:t>RWAY</w:t>
      </w:r>
      <w:r>
        <w:rPr>
          <w:rFonts w:ascii="Times New Roman" w:cs="Times New Roman" w:eastAsia="Times New Roman" w:hAnsi="Times New Roman"/>
          <w:sz w:val="18"/>
          <w:szCs w:val="18"/>
          <w:color w:val="auto"/>
        </w:rPr>
        <w:t>”, together with BCPL, BCIC, ACIF, and OCIF the “</w:t>
      </w:r>
      <w:r>
        <w:rPr>
          <w:rFonts w:ascii="Times New Roman" w:cs="Times New Roman" w:eastAsia="Times New Roman" w:hAnsi="Times New Roman"/>
          <w:sz w:val="18"/>
          <w:szCs w:val="18"/>
          <w:b w:val="1"/>
          <w:bCs w:val="1"/>
          <w:i w:val="1"/>
          <w:iCs w:val="1"/>
          <w:color w:val="auto"/>
        </w:rPr>
        <w:t>Existing Regulated Funds</w:t>
      </w:r>
      <w:r>
        <w:rPr>
          <w:rFonts w:ascii="Times New Roman" w:cs="Times New Roman" w:eastAsia="Times New Roman" w:hAnsi="Times New Roman"/>
          <w:sz w:val="18"/>
          <w:szCs w:val="18"/>
          <w:color w:val="auto"/>
        </w:rPr>
        <w:t>”), a closed-end management investment company that has elected to be regulated as a BDC under the 1940 Act;</w:t>
      </w:r>
    </w:p>
    <w:p>
      <w:pPr>
        <w:spacing w:after="0" w:line="60" w:lineRule="exact"/>
        <w:rPr>
          <w:rFonts w:ascii="Times New Roman" w:cs="Times New Roman" w:eastAsia="Times New Roman" w:hAnsi="Times New Roman"/>
          <w:sz w:val="18"/>
          <w:szCs w:val="18"/>
          <w:color w:val="auto"/>
        </w:rPr>
      </w:pPr>
    </w:p>
    <w:p>
      <w:pPr>
        <w:ind w:left="964" w:right="80" w:hanging="424"/>
        <w:spacing w:after="0" w:line="29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 Partners Advisors L.P. (“</w:t>
      </w:r>
      <w:r>
        <w:rPr>
          <w:rFonts w:ascii="Times New Roman" w:cs="Times New Roman" w:eastAsia="Times New Roman" w:hAnsi="Times New Roman"/>
          <w:sz w:val="18"/>
          <w:szCs w:val="18"/>
          <w:b w:val="1"/>
          <w:bCs w:val="1"/>
          <w:i w:val="1"/>
          <w:iCs w:val="1"/>
          <w:color w:val="auto"/>
        </w:rPr>
        <w:t>BCPA</w:t>
      </w:r>
      <w:r>
        <w:rPr>
          <w:rFonts w:ascii="Times New Roman" w:cs="Times New Roman" w:eastAsia="Times New Roman" w:hAnsi="Times New Roman"/>
          <w:sz w:val="18"/>
          <w:szCs w:val="18"/>
          <w:color w:val="auto"/>
        </w:rPr>
        <w:t>”), an investment adviser registered with the Commission under the Investment Advisers Act of 1940, as amended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 which serves as the investment adviser to BCPL, on behalf of itself and its successors;</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181"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Unless otherwise indicated, all section and rule references herein are to the 1940 Act and rules promulgated thereunder.</w:t>
      </w:r>
    </w:p>
    <w:p>
      <w:pPr>
        <w:ind w:left="424" w:hanging="424"/>
        <w:spacing w:after="0" w:line="181" w:lineRule="auto"/>
        <w:tabs>
          <w:tab w:leader="none" w:pos="424"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u w:val="single" w:color="auto"/>
          <w:color w:val="auto"/>
        </w:rPr>
        <w:t>BC Partners Lending Corporation, et al.</w:t>
      </w:r>
      <w:r>
        <w:rPr>
          <w:rFonts w:ascii="Times New Roman" w:cs="Times New Roman" w:eastAsia="Times New Roman" w:hAnsi="Times New Roman"/>
          <w:sz w:val="17"/>
          <w:szCs w:val="17"/>
          <w:color w:val="auto"/>
        </w:rPr>
        <w:t xml:space="preserve"> (File No. 812-15292), Release No. IC-34849 (March 7, 2023) (notice), Release No. IC-34880 (April 10,</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2023) (order).</w:t>
      </w:r>
    </w:p>
    <w:p>
      <w:pPr>
        <w:ind w:left="424" w:hanging="424"/>
        <w:spacing w:after="0" w:line="186"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successor</w:t>
      </w:r>
      <w:r>
        <w:rPr>
          <w:rFonts w:ascii="Times New Roman" w:cs="Times New Roman" w:eastAsia="Times New Roman" w:hAnsi="Times New Roman"/>
          <w:sz w:val="17"/>
          <w:szCs w:val="17"/>
          <w:color w:val="auto"/>
        </w:rPr>
        <w:t>” means an entity that results from a reorganization into another jurisdiction or change in the type of business organization.</w:t>
      </w:r>
    </w:p>
    <w:p>
      <w:pPr>
        <w:spacing w:after="0" w:line="130" w:lineRule="exact"/>
        <w:rPr>
          <w:rFonts w:ascii="Times New Roman" w:cs="Times New Roman" w:eastAsia="Times New Roman" w:hAnsi="Times New Roman"/>
          <w:sz w:val="25"/>
          <w:szCs w:val="25"/>
          <w:color w:val="auto"/>
          <w:vertAlign w:val="superscript"/>
        </w:rPr>
      </w:pPr>
    </w:p>
    <w:p>
      <w:pPr>
        <w:ind w:left="5464"/>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3</w:t>
      </w:r>
    </w:p>
    <w:p>
      <w:pPr>
        <w:sectPr>
          <w:pgSz w:w="11900" w:h="16838" w:orient="portrait"/>
          <w:cols w:equalWidth="0" w:num="1">
            <w:col w:w="10924"/>
          </w:cols>
          <w:pgMar w:left="436" w:top="329" w:right="539" w:bottom="1440" w:gutter="0" w:footer="0" w:header="0"/>
        </w:sectPr>
      </w:pPr>
    </w:p>
    <w:bookmarkStart w:id="3" w:name="page4"/>
    <w:bookmarkEnd w:id="3"/>
    <w:p>
      <w:pPr>
        <w:ind w:left="964" w:right="20" w:hanging="424"/>
        <w:spacing w:after="0" w:line="28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Sierra Crest Investment Management LLC (“</w:t>
      </w:r>
      <w:r>
        <w:rPr>
          <w:rFonts w:ascii="Times New Roman" w:cs="Times New Roman" w:eastAsia="Times New Roman" w:hAnsi="Times New Roman"/>
          <w:sz w:val="18"/>
          <w:szCs w:val="18"/>
          <w:b w:val="1"/>
          <w:bCs w:val="1"/>
          <w:i w:val="1"/>
          <w:iCs w:val="1"/>
          <w:color w:val="auto"/>
        </w:rPr>
        <w:t>Sierra Crest</w:t>
      </w:r>
      <w:r>
        <w:rPr>
          <w:rFonts w:ascii="Times New Roman" w:cs="Times New Roman" w:eastAsia="Times New Roman" w:hAnsi="Times New Roman"/>
          <w:sz w:val="18"/>
          <w:szCs w:val="18"/>
          <w:color w:val="auto"/>
        </w:rPr>
        <w:t>”), an investment adviser registered with the Commission under the Advisers Act, which serves as the investment adviser to BCIC and ACIF, on behalf of itself and its successors;</w:t>
      </w:r>
    </w:p>
    <w:p>
      <w:pPr>
        <w:spacing w:after="0" w:line="60" w:lineRule="exact"/>
        <w:rPr>
          <w:rFonts w:ascii="Times New Roman" w:cs="Times New Roman" w:eastAsia="Times New Roman" w:hAnsi="Times New Roman"/>
          <w:sz w:val="18"/>
          <w:szCs w:val="18"/>
          <w:color w:val="auto"/>
        </w:rPr>
      </w:pPr>
    </w:p>
    <w:p>
      <w:pPr>
        <w:ind w:left="964" w:right="20" w:hanging="424"/>
        <w:spacing w:after="0" w:line="28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Runway Growth Capital LLC (“</w:t>
      </w:r>
      <w:r>
        <w:rPr>
          <w:rFonts w:ascii="Times New Roman" w:cs="Times New Roman" w:eastAsia="Times New Roman" w:hAnsi="Times New Roman"/>
          <w:sz w:val="18"/>
          <w:szCs w:val="18"/>
          <w:b w:val="1"/>
          <w:bCs w:val="1"/>
          <w:i w:val="1"/>
          <w:iCs w:val="1"/>
          <w:color w:val="auto"/>
        </w:rPr>
        <w:t>RGC</w:t>
      </w:r>
      <w:r>
        <w:rPr>
          <w:rFonts w:ascii="Times New Roman" w:cs="Times New Roman" w:eastAsia="Times New Roman" w:hAnsi="Times New Roman"/>
          <w:sz w:val="18"/>
          <w:szCs w:val="18"/>
          <w:color w:val="auto"/>
        </w:rPr>
        <w:t>”), an investment adviser registered with the Commission under the Advisers Act, which serves as the investment adviser to RWAY, on behalf of itself and its successors;</w:t>
      </w:r>
    </w:p>
    <w:p>
      <w:pPr>
        <w:spacing w:after="0" w:line="60" w:lineRule="exact"/>
        <w:rPr>
          <w:rFonts w:ascii="Times New Roman" w:cs="Times New Roman" w:eastAsia="Times New Roman" w:hAnsi="Times New Roman"/>
          <w:sz w:val="18"/>
          <w:szCs w:val="18"/>
          <w:color w:val="auto"/>
        </w:rPr>
      </w:pPr>
    </w:p>
    <w:p>
      <w:pPr>
        <w:ind w:left="964" w:right="360" w:hanging="424"/>
        <w:spacing w:after="0" w:line="268"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Management, LLC (“</w:t>
      </w:r>
      <w:r>
        <w:rPr>
          <w:rFonts w:ascii="Times New Roman" w:cs="Times New Roman" w:eastAsia="Times New Roman" w:hAnsi="Times New Roman"/>
          <w:sz w:val="18"/>
          <w:szCs w:val="18"/>
          <w:b w:val="1"/>
          <w:bCs w:val="1"/>
          <w:i w:val="1"/>
          <w:iCs w:val="1"/>
          <w:color w:val="auto"/>
        </w:rPr>
        <w:t>MLM</w:t>
      </w:r>
      <w:r>
        <w:rPr>
          <w:rFonts w:ascii="Times New Roman" w:cs="Times New Roman" w:eastAsia="Times New Roman" w:hAnsi="Times New Roman"/>
          <w:sz w:val="18"/>
          <w:szCs w:val="18"/>
          <w:color w:val="auto"/>
        </w:rPr>
        <w:t>,” and together with BCPA, Sierra Crest and RGC, the “</w:t>
      </w:r>
      <w:r>
        <w:rPr>
          <w:rFonts w:ascii="Times New Roman" w:cs="Times New Roman" w:eastAsia="Times New Roman" w:hAnsi="Times New Roman"/>
          <w:sz w:val="18"/>
          <w:szCs w:val="18"/>
          <w:b w:val="1"/>
          <w:bCs w:val="1"/>
          <w:i w:val="1"/>
          <w:iCs w:val="1"/>
          <w:color w:val="auto"/>
        </w:rPr>
        <w:t>Existing Advisers</w:t>
      </w:r>
      <w:r>
        <w:rPr>
          <w:rFonts w:ascii="Times New Roman" w:cs="Times New Roman" w:eastAsia="Times New Roman" w:hAnsi="Times New Roman"/>
          <w:sz w:val="18"/>
          <w:szCs w:val="18"/>
          <w:color w:val="auto"/>
        </w:rPr>
        <w:t>”), an investment adviser registered with the Commission under Advisers Act, which serves as the investment adviser to OCIF, on behalf of itself and its successors;</w:t>
      </w:r>
    </w:p>
    <w:p>
      <w:pPr>
        <w:spacing w:after="0" w:line="76"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 Logan Capital Inc. (“</w:t>
      </w:r>
      <w:r>
        <w:rPr>
          <w:rFonts w:ascii="Times New Roman" w:cs="Times New Roman" w:eastAsia="Times New Roman" w:hAnsi="Times New Roman"/>
          <w:sz w:val="18"/>
          <w:szCs w:val="18"/>
          <w:b w:val="1"/>
          <w:bCs w:val="1"/>
          <w:i w:val="1"/>
          <w:iCs w:val="1"/>
          <w:color w:val="auto"/>
        </w:rPr>
        <w:t>MLC</w:t>
      </w:r>
      <w:r>
        <w:rPr>
          <w:rFonts w:ascii="Times New Roman" w:cs="Times New Roman" w:eastAsia="Times New Roman" w:hAnsi="Times New Roman"/>
          <w:sz w:val="18"/>
          <w:szCs w:val="18"/>
          <w:color w:val="auto"/>
        </w:rPr>
        <w:t>”), an alternative asset management company and the indirect parent company of MLM;</w:t>
      </w:r>
    </w:p>
    <w:p>
      <w:pPr>
        <w:spacing w:after="0" w:line="134"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vehicles (as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a Wholly-Owned Investment Sub (as the term is defined below) of a Regulated Fund (the “</w:t>
      </w:r>
      <w:r>
        <w:rPr>
          <w:rFonts w:ascii="Times New Roman" w:cs="Times New Roman" w:eastAsia="Times New Roman" w:hAnsi="Times New Roman"/>
          <w:sz w:val="18"/>
          <w:szCs w:val="18"/>
          <w:b w:val="1"/>
          <w:bCs w:val="1"/>
          <w:i w:val="1"/>
          <w:iCs w:val="1"/>
          <w:color w:val="auto"/>
        </w:rPr>
        <w:t>Existing Wholly-Owned Subsidiaries”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964" w:right="300"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Existing Adviser that acts in a principal capacity or an existing entity that is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that, from time to time, will hold various financial assets in a principal capacity and intends to participate in Co-Investment Transactions (the “</w:t>
      </w:r>
      <w:r>
        <w:rPr>
          <w:rFonts w:ascii="Times New Roman" w:cs="Times New Roman" w:eastAsia="Times New Roman" w:hAnsi="Times New Roman"/>
          <w:sz w:val="18"/>
          <w:szCs w:val="18"/>
          <w:b w:val="1"/>
          <w:bCs w:val="1"/>
          <w:i w:val="1"/>
          <w:iCs w:val="1"/>
          <w:color w:val="auto"/>
        </w:rPr>
        <w:t>Existing Proprietary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Accounts</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964" w:right="160" w:hanging="424"/>
        <w:spacing w:after="0" w:line="265"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investment vehicles (as identified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each of which is a separate and distinct legal entity and each of which either (a) would be an investment company but for Section 3(c)(1), 3(c)(5)(C) or 3(c)(7) of the 1940 Act or (b) relies on Rule 3a-7 under the 1940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 or is a Joint Venture (as the term is defined below) of an Existing Regulated Fund (the “</w:t>
      </w:r>
      <w:r>
        <w:rPr>
          <w:rFonts w:ascii="Times New Roman" w:cs="Times New Roman" w:eastAsia="Times New Roman" w:hAnsi="Times New Roman"/>
          <w:sz w:val="18"/>
          <w:szCs w:val="18"/>
          <w:b w:val="1"/>
          <w:bCs w:val="1"/>
          <w:i w:val="1"/>
          <w:iCs w:val="1"/>
          <w:color w:val="auto"/>
        </w:rPr>
        <w:t>Existing Joint Ventures</w:t>
      </w:r>
      <w:r>
        <w:rPr>
          <w:rFonts w:ascii="Times New Roman" w:cs="Times New Roman" w:eastAsia="Times New Roman" w:hAnsi="Times New Roman"/>
          <w:sz w:val="18"/>
          <w:szCs w:val="18"/>
          <w:color w:val="auto"/>
        </w:rPr>
        <w:t>”; together with, the Existing Regulated Funds, the Existing Advisers, the Existing Wholly-Owned Subsidiaries, the Existing Affiliated Funds and the Existing Proprietary Accounts,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 w:lineRule="exact"/>
        <w:rPr>
          <w:sz w:val="20"/>
          <w:szCs w:val="20"/>
          <w:color w:val="auto"/>
        </w:rPr>
      </w:pPr>
    </w:p>
    <w:p>
      <w:pPr>
        <w:ind w:left="424" w:right="120" w:hanging="424"/>
        <w:spacing w:after="0" w:line="208" w:lineRule="auto"/>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existing entities that currently intend to rely upon the requested Order have been named as Applicants. Any other existing or future entity that subsequently relies on the Order will comply with the terms and conditions of the Application.</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4" w:name="page5"/>
    <w:bookmarkEnd w:id="4"/>
    <w:p>
      <w:pPr>
        <w:ind w:left="4" w:right="120"/>
        <w:spacing w:after="0" w:line="19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relief requested in this application for the Order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and one or more Affiliated Entities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to engage in Co-Investment Transactions</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subject to the terms and conditions described herein. The Regulated Funds and Affiliated Entities that participate in a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424" w:right="60" w:hanging="424"/>
        <w:spacing w:after="0" w:line="235" w:lineRule="auto"/>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w:t>
      </w:r>
      <w:r>
        <w:rPr>
          <w:rFonts w:ascii="Times New Roman" w:cs="Times New Roman" w:eastAsia="Times New Roman" w:hAnsi="Times New Roman"/>
          <w:sz w:val="18"/>
          <w:szCs w:val="18"/>
          <w:color w:val="auto"/>
        </w:rPr>
        <w:t>” means the Existing Regulated Funds and any Future Regulated Funds. “</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ind w:left="444" w:right="40"/>
        <w:spacing w:after="0" w:line="25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cs="Times New Roman" w:eastAsia="Times New Roman" w:hAnsi="Times New Roman"/>
          <w:sz w:val="18"/>
          <w:szCs w:val="18"/>
          <w:b w:val="1"/>
          <w:bCs w:val="1"/>
          <w:i w:val="1"/>
          <w:iCs w:val="1"/>
          <w:color w:val="auto"/>
        </w:rPr>
        <w:t>Joint Venture</w:t>
      </w:r>
      <w:r>
        <w:rPr>
          <w:rFonts w:ascii="Times New Roman" w:cs="Times New Roman" w:eastAsia="Times New Roman" w:hAnsi="Times New Roman"/>
          <w:sz w:val="18"/>
          <w:szCs w:val="18"/>
          <w:color w:val="auto"/>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spacing w:after="0" w:line="4" w:lineRule="exact"/>
        <w:rPr>
          <w:rFonts w:ascii="Times New Roman" w:cs="Times New Roman" w:eastAsia="Times New Roman" w:hAnsi="Times New Roman"/>
          <w:sz w:val="27"/>
          <w:szCs w:val="27"/>
          <w:color w:val="auto"/>
          <w:vertAlign w:val="superscript"/>
        </w:rPr>
      </w:pPr>
    </w:p>
    <w:p>
      <w:pPr>
        <w:ind w:left="444"/>
        <w:spacing w:after="0" w:line="18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In</w:t>
      </w:r>
      <w:r>
        <w:rPr>
          <w:rFonts w:ascii="Times New Roman" w:cs="Times New Roman" w:eastAsia="Times New Roman" w:hAnsi="Times New Roman"/>
          <w:sz w:val="17"/>
          <w:szCs w:val="17"/>
          <w:color w:val="auto"/>
        </w:rPr>
        <w:t xml:space="preserve"> the case of a Wholly-Owned Investment Sub that does not have a chief compliance officer or a Board, the chief compliance officer and Board of</w:t>
      </w:r>
    </w:p>
    <w:p>
      <w:pPr>
        <w:spacing w:after="0" w:line="1" w:lineRule="exact"/>
        <w:rPr>
          <w:sz w:val="20"/>
          <w:szCs w:val="20"/>
          <w:color w:val="auto"/>
        </w:rPr>
      </w:pPr>
    </w:p>
    <w:p>
      <w:pPr>
        <w:ind w:left="444" w:right="120"/>
        <w:spacing w:after="0" w:line="264" w:lineRule="auto"/>
        <w:rPr>
          <w:sz w:val="20"/>
          <w:szCs w:val="20"/>
          <w:color w:val="auto"/>
        </w:rPr>
      </w:pPr>
      <w:r>
        <w:rPr>
          <w:rFonts w:ascii="Times New Roman" w:cs="Times New Roman" w:eastAsia="Times New Roman" w:hAnsi="Times New Roman"/>
          <w:sz w:val="17"/>
          <w:szCs w:val="17"/>
          <w:color w:val="auto"/>
        </w:rPr>
        <w:t>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spacing w:after="0" w:line="2" w:lineRule="exact"/>
        <w:rPr>
          <w:sz w:val="20"/>
          <w:szCs w:val="20"/>
          <w:color w:val="auto"/>
        </w:rPr>
      </w:pPr>
    </w:p>
    <w:p>
      <w:pPr>
        <w:ind w:left="424" w:right="180" w:hanging="424"/>
        <w:spacing w:after="0" w:line="200"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Entity</w:t>
      </w:r>
      <w:r>
        <w:rPr>
          <w:rFonts w:ascii="Times New Roman" w:cs="Times New Roman" w:eastAsia="Times New Roman" w:hAnsi="Times New Roman"/>
          <w:sz w:val="18"/>
          <w:szCs w:val="18"/>
          <w:color w:val="auto"/>
        </w:rPr>
        <w:t>” means an entity not controlled by a Regulated Fund that intends to engage in Co-Investment Transactions and that is (a) with respect to a Regulated Fund, another Regulated Fund; (b) an Adviser or its affiliates, and any direct or indirect, wholly- or majority-owned</w:t>
      </w:r>
    </w:p>
    <w:p>
      <w:pPr>
        <w:spacing w:after="0" w:line="1" w:lineRule="exact"/>
        <w:rPr>
          <w:sz w:val="20"/>
          <w:szCs w:val="20"/>
          <w:color w:val="auto"/>
        </w:rPr>
      </w:pPr>
    </w:p>
    <w:p>
      <w:pPr>
        <w:ind w:left="424" w:right="20"/>
        <w:spacing w:after="0" w:line="250" w:lineRule="auto"/>
        <w:rPr>
          <w:sz w:val="20"/>
          <w:szCs w:val="20"/>
          <w:color w:val="auto"/>
        </w:rPr>
      </w:pPr>
      <w:r>
        <w:rPr>
          <w:rFonts w:ascii="Times New Roman" w:cs="Times New Roman" w:eastAsia="Times New Roman" w:hAnsi="Times New Roman"/>
          <w:sz w:val="18"/>
          <w:szCs w:val="18"/>
          <w:color w:val="auto"/>
        </w:rPr>
        <w:t>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spacing w:after="0" w:line="1" w:lineRule="exact"/>
        <w:rPr>
          <w:sz w:val="20"/>
          <w:szCs w:val="20"/>
          <w:color w:val="auto"/>
        </w:rPr>
      </w:pPr>
    </w:p>
    <w:p>
      <w:pPr>
        <w:ind w:left="444" w:right="180"/>
        <w:spacing w:after="0" w:line="250" w:lineRule="auto"/>
        <w:rPr>
          <w:sz w:val="20"/>
          <w:szCs w:val="20"/>
          <w:color w:val="auto"/>
        </w:rPr>
      </w:pPr>
      <w:r>
        <w:rPr>
          <w:rFonts w:ascii="Times New Roman" w:cs="Times New Roman" w:eastAsia="Times New Roman" w:hAnsi="Times New Roman"/>
          <w:sz w:val="18"/>
          <w:szCs w:val="18"/>
          <w:color w:val="auto"/>
        </w:rPr>
        <w:t>To the extent that an entity described in clause (b) is not advised by an Adviser, such entity shall be deemed to be an Adviser for purposes of the conditions.</w:t>
      </w:r>
    </w:p>
    <w:p>
      <w:pPr>
        <w:spacing w:after="0" w:line="1" w:lineRule="exact"/>
        <w:rPr>
          <w:sz w:val="20"/>
          <w:szCs w:val="20"/>
          <w:color w:val="auto"/>
        </w:rPr>
      </w:pPr>
    </w:p>
    <w:p>
      <w:pPr>
        <w:ind w:left="424" w:right="200" w:hanging="424"/>
        <w:spacing w:after="0" w:line="200" w:lineRule="auto"/>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the acquisition or Disposition of securities of an issuer in a transaction effected in reliance on the Order or previously granted relief.</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5" w:name="page6"/>
    <w:bookmarkEnd w:id="5"/>
    <w:p>
      <w:pPr>
        <w:ind w:left="4" w:right="20"/>
        <w:spacing w:after="0" w:line="23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are collectively referred to herein as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The Applicants do not seek relief for transactions effected consistent with Commission staff no-action positions.</w:t>
      </w:r>
      <w:r>
        <w:rPr>
          <w:rFonts w:ascii="Times New Roman" w:cs="Times New Roman" w:eastAsia="Times New Roman" w:hAnsi="Times New Roman"/>
          <w:sz w:val="26"/>
          <w:szCs w:val="26"/>
          <w:color w:val="auto"/>
          <w:vertAlign w:val="superscript"/>
        </w:rPr>
        <w:t>9</w:t>
      </w:r>
    </w:p>
    <w:p>
      <w:pPr>
        <w:spacing w:after="0" w:line="218"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DESCRIPTION OF THE APPLICANTS</w:t>
      </w:r>
    </w:p>
    <w:p>
      <w:pPr>
        <w:spacing w:after="0" w:line="134"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A.BCPL</w:t>
      </w:r>
    </w:p>
    <w:p>
      <w:pPr>
        <w:spacing w:after="0" w:line="225" w:lineRule="exact"/>
        <w:rPr>
          <w:sz w:val="20"/>
          <w:szCs w:val="20"/>
          <w:color w:val="auto"/>
        </w:rPr>
      </w:pPr>
    </w:p>
    <w:p>
      <w:pPr>
        <w:ind w:left="4" w:right="420"/>
        <w:spacing w:after="0" w:line="261" w:lineRule="auto"/>
        <w:rPr>
          <w:sz w:val="20"/>
          <w:szCs w:val="20"/>
          <w:color w:val="auto"/>
        </w:rPr>
      </w:pPr>
      <w:r>
        <w:rPr>
          <w:rFonts w:ascii="Times New Roman" w:cs="Times New Roman" w:eastAsia="Times New Roman" w:hAnsi="Times New Roman"/>
          <w:sz w:val="18"/>
          <w:szCs w:val="18"/>
          <w:color w:val="auto"/>
        </w:rPr>
        <w:t>BCPL was formed on December 22, 2017 as a corporation under the laws of the State of Maryland and commenced operations on October 2, 2019. BCPL is an externally managed closed-end management investment company that has elected to be regulated as a BDC under the 1940 Act. BCPL intends to qualify annually as a regulated investment company under Sub-Chapter M of the Internal Revenue Code of 1986, as amended. BCPL’s principal place of business is 650 Madison Avenue, 3rd Floor, New York, New York 10022.</w:t>
      </w:r>
    </w:p>
    <w:p>
      <w:pPr>
        <w:spacing w:after="0" w:line="180" w:lineRule="exact"/>
        <w:rPr>
          <w:sz w:val="20"/>
          <w:szCs w:val="20"/>
          <w:color w:val="auto"/>
        </w:rPr>
      </w:pPr>
    </w:p>
    <w:p>
      <w:pPr>
        <w:ind w:left="4" w:right="180"/>
        <w:spacing w:after="0" w:line="296" w:lineRule="auto"/>
        <w:rPr>
          <w:sz w:val="20"/>
          <w:szCs w:val="20"/>
          <w:color w:val="auto"/>
        </w:rPr>
      </w:pPr>
      <w:r>
        <w:rPr>
          <w:rFonts w:ascii="Times New Roman" w:cs="Times New Roman" w:eastAsia="Times New Roman" w:hAnsi="Times New Roman"/>
          <w:sz w:val="18"/>
          <w:szCs w:val="18"/>
          <w:color w:val="auto"/>
        </w:rPr>
        <w:t>BCPL’s investment objective is to generate current income and, to a lesser extent, capital appreciation. BCPL has a four-member board, of which three members are not “interested persons” of the BCPL within the meaning of Section 2(a)(19) of the 1940 Act.</w:t>
      </w:r>
      <w:r>
        <w:rPr>
          <w:rFonts w:ascii="Times New Roman" w:cs="Times New Roman" w:eastAsia="Times New Roman" w:hAnsi="Times New Roman"/>
          <w:sz w:val="26"/>
          <w:szCs w:val="26"/>
          <w:color w:val="auto"/>
          <w:vertAlign w:val="superscript"/>
        </w:rPr>
        <w:t>10</w:t>
      </w:r>
    </w:p>
    <w:p>
      <w:pPr>
        <w:spacing w:after="0" w:line="51" w:lineRule="exact"/>
        <w:rPr>
          <w:sz w:val="20"/>
          <w:szCs w:val="20"/>
          <w:color w:val="auto"/>
        </w:rPr>
      </w:pPr>
    </w:p>
    <w:p>
      <w:pPr>
        <w:ind w:left="964" w:hanging="532"/>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BCIC</w:t>
      </w:r>
    </w:p>
    <w:p>
      <w:pPr>
        <w:spacing w:after="0" w:line="11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BCIC was formed as a Delaware limited liability company on August 8, 2006 and, prior to the issuance of shares of BCIC’s common stock in its initial public offering, converted to a corporation incorporated in Delaware on December 11, 2006. BCIC is an externally managed, non-diversified, closed-end management investment company that has elected to be regulated as a BDC under the 1940 Act. BCIC intends to qualify annually as a regulated investment company under Sub-Chapter M of the Internal Revenue Code of 1986, as amended. BCIC’s principal place of business is 650 Madison Avenue, 3rd Floor, New York, New York 10022.</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BCIC’s investment objective is to generate current income and capital appreciation by lending directly to privately-held middle market companies.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BCIC has a nine-member board, of which seven are not “interested persons” of BCIC within the meaning of Section 2(a)(19) of the 1940 Act.</w:t>
      </w:r>
    </w:p>
    <w:p>
      <w:pPr>
        <w:spacing w:after="0" w:line="234" w:lineRule="exact"/>
        <w:rPr>
          <w:sz w:val="20"/>
          <w:szCs w:val="20"/>
          <w:color w:val="auto"/>
        </w:rPr>
      </w:pPr>
    </w:p>
    <w:p>
      <w:pPr>
        <w:ind w:left="964" w:hanging="532"/>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ACIF</w:t>
      </w:r>
    </w:p>
    <w:p>
      <w:pPr>
        <w:spacing w:after="0" w:line="117"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ACIF was organized as a Delaware statutory trust on December 11, 2014 and commenced operations on April 20, 2015. ACIF is a continuously offered, diversified, externally managed closed-end management investment company that is operated as an interval fund. ACIF intends to qualify annually as a regulated investment company under Sub-Chapter M of the Internal Revenue Code of 1986, as amended. ACIF’s principal place of business is 650 Madison Avenue, 3rd Floor, New York, New York 10022.</w:t>
      </w:r>
    </w:p>
    <w:p>
      <w:pPr>
        <w:spacing w:after="0" w:line="180"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ACIF’s investment objectives are to produce current income and achieve capital preservation with moderate volatility and low to moderate correlation to the broader equity markets. ACIF has a four-member board, of which three are not “interested persons” of ACIF within the meaning of Section 2(a)(19)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means the Existing Advisers and any other investment adviser controlling, controlled by, or under common control with an Existing</w:t>
      </w:r>
    </w:p>
    <w:p>
      <w:pPr>
        <w:spacing w:after="0" w:line="196" w:lineRule="exact"/>
        <w:rPr>
          <w:sz w:val="20"/>
          <w:szCs w:val="20"/>
          <w:color w:val="auto"/>
        </w:rPr>
      </w:pPr>
    </w:p>
    <w:p>
      <w:pPr>
        <w:ind w:left="424" w:hanging="424"/>
        <w:spacing w:after="0" w:line="209" w:lineRule="auto"/>
        <w:tabs>
          <w:tab w:leader="none" w:pos="424"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Massachusetts Mutual Life Insurance Co. (pub. avail. June 7, 2000), Massachusetts Mutual Life Insurance Co. (pub. avail. July 28,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SMC Capital, Inc. (pub. avail. Sept. 5, 1995).</w:t>
      </w:r>
    </w:p>
    <w:p>
      <w:pPr>
        <w:spacing w:after="0" w:line="2" w:lineRule="exact"/>
        <w:rPr>
          <w:sz w:val="20"/>
          <w:szCs w:val="20"/>
          <w:color w:val="auto"/>
        </w:rPr>
      </w:pPr>
    </w:p>
    <w:p>
      <w:pPr>
        <w:ind w:left="424" w:right="140" w:hanging="424"/>
        <w:spacing w:after="0" w:line="200" w:lineRule="auto"/>
        <w:tabs>
          <w:tab w:leader="none" w:pos="424"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Board of each Future Regulated Fund will consist of a majority of members who are not “interested persons” of such Future Regulated Fund within the meaning of Section 2(a)(19) of the 1940 Act.</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6" w:name="page7"/>
    <w:bookmarkEnd w:id="6"/>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OCIF</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OCIF was organized as a Delaware statutory trust on January 21, 2022 and commenced operations on July 5, 2022. OCIF is a continuously offered, non-diversified, externally managed closed-end management investment company that is operated as an interval fund. OCIF intends to qualify annually as a regulated investment company under Sub-Chapter M of the Internal Revenue Code of 1986, as amended. OCIF’s principal place of business is 650 Madison Avenue, 3rd Floor, New York, New York 10022.</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OCIF’s investment objectives are to produce current income and capital appreciation. OCIF has a four-member board, of which three are not “interested persons” of OCIF within the meaning of Section 2(a)(19) of the 1940 Act.</w:t>
      </w:r>
    </w:p>
    <w:p>
      <w:pPr>
        <w:spacing w:after="0" w:line="189" w:lineRule="exact"/>
        <w:rPr>
          <w:sz w:val="20"/>
          <w:szCs w:val="20"/>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RWAY</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RWAY was organized as a Maryland corporation on August 31, 2015 and is a non-diversified, externally managed closed-end management investment company that has elected to be regulated as a BDC under the 1940 Act. RWAY intends to qualify annually as a regulated investment company under Sub-Chapter M of the Internal Revenue Code of 1986, as amended. RWAY’s principal place of business is 205 N. Michigan Ave., Suite 4200 Chicago, Illinois 60601.</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RWAY’s investment objective is to maximize the total return to its stockholders primarily through current income on its loan portfolio, and secondarily through capital gains on its warrants and other equity positions. RWAY has an eight-member board, of which six are not “interested persons” of RWAY within the meaning of Section 2(a)(19) of the 1940 Act.</w:t>
      </w:r>
    </w:p>
    <w:p>
      <w:pPr>
        <w:spacing w:after="0" w:line="203"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Advisers</w:t>
      </w:r>
    </w:p>
    <w:p>
      <w:pPr>
        <w:spacing w:after="0" w:line="11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BCPA, a Delaware limited partnership formed on March 29, 2017 and an investment adviser registered with the Commission under the Advisers Act, serves as investment adviser to BCPL pursuant to an investment advisory agreement with such entity. BCPA also serves as the investment adviser to certain Existing Affiliated Funds pursuant to investment advisory agreements.</w:t>
      </w:r>
    </w:p>
    <w:p>
      <w:pPr>
        <w:spacing w:after="0" w:line="176"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Sierra Crest, a Delaware limited liability company formed on December 4, 2019 and an investment adviser registered with the Commission under the Advisers Act, is an affiliate of BCPA and serves as investment adviser to BCIC and ACIF, in each case, pursuant to an investment advisory agreement with such entity. Sierra Crest also serves as the investment adviser to certain Existing Affiliated Funds pursuant to investment advisory agreements.</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RGC, a Delaware limited liability company organized in 2015 and an investment adviser registered with the Commission under the Advisers Act, serves as investment adviser to RWAY pursuant to an investment advisory agreement with such entity. RGC also serves as the investment adviser to certain Existing Affiliated Funds pursuant to investment advisory agreements.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MLM, a Delaware limited liability company organized in 2020 and registered with the Commission under the Advisers Act, is a wholly-owned subsidiary of MLC. Pursuant to investment advisory agreements, MLM serves as investment adviser to: (1) OCIF, (2) certain Existing Affiliated Funds, and (3) an Existing Proprietary Account.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7" w:name="page8"/>
    <w:bookmarkEnd w:id="7"/>
    <w:p>
      <w:pPr>
        <w:ind w:left="4" w:right="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 servicing agreement, BC Partners LLP (“</w:t>
      </w:r>
      <w:r>
        <w:rPr>
          <w:rFonts w:ascii="Times New Roman" w:cs="Times New Roman" w:eastAsia="Times New Roman" w:hAnsi="Times New Roman"/>
          <w:sz w:val="17"/>
          <w:szCs w:val="17"/>
          <w:b w:val="1"/>
          <w:bCs w:val="1"/>
          <w:i w:val="1"/>
          <w:iCs w:val="1"/>
          <w:color w:val="auto"/>
        </w:rPr>
        <w:t>BC Partners</w:t>
      </w:r>
      <w:r>
        <w:rPr>
          <w:rFonts w:ascii="Times New Roman" w:cs="Times New Roman" w:eastAsia="Times New Roman" w:hAnsi="Times New Roman"/>
          <w:sz w:val="17"/>
          <w:szCs w:val="17"/>
          <w:color w:val="auto"/>
        </w:rPr>
        <w:t>”) provides MLM with various resources and services. The individuals who handle investment management operations for MLM are the same individuals who serve in similar roles for BCPA and Sierra Crest. BC Partners owns controlling interests in BCPA and Sierra Crest, and an investment fund affiliated with BCPA owns controlling interests in RGC. Because BC Partners and its affiliates own controlling interests in BCPA, Sierra Crest, and RGC, BC Partners may be deemed to control BCPA, Sierra Crest, and RGC. MLC and MLM may be deemed to be under common control with BCPA, Sierra Crest, and RGC because under a shared resources agreement between BC Partners and MLC, the individuals responsible for the day-to-day operations of BCPA, Sierra Crest, and RGC are the same individuals responsible for the day-to-day operations of MLC and MLM. Accordingly, each Existing Adviser may be deemed to be directly or indirectly controlled by BC Partners.</w:t>
      </w:r>
    </w:p>
    <w:p>
      <w:pPr>
        <w:spacing w:after="0" w:line="175"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Under the terms of an investment advisory agreement with each Existing Regulated Fund and each Existing Affiliated Fund, respectively, BCPA, Sierra Crest, MLM and RGC will, among other things, manage the investment portfolio, direct purchases and sales of portfolio securities and report thereon to each Existing Regulated Fund’s and the Existing Affiliated Fund’s officers and directors/managers/trustees regularly.</w:t>
      </w:r>
    </w:p>
    <w:p>
      <w:pPr>
        <w:spacing w:after="0" w:line="203" w:lineRule="exact"/>
        <w:rPr>
          <w:sz w:val="20"/>
          <w:szCs w:val="20"/>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Wholly-Owned Subsidiaries and the Existing Joint Ventures</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Each of the Existing Wholly-Owned Subsidiaries is a direct or indirect wholly-owned subsidiary of an Existing Regulated Fund whose sole business purpose is to hold one or more investments on behalf of such Existing Regulated Fund. Each Existing Wholly-Owned Subsidiary is a separate and distinct legal entity. The Existing Wholly-Owned Subsidiaries have investment objectives and strategies that are substantially the same as, or a subset of, those of the applicable Existing Regulated Fund. A list of the Existing Wholly-Owned Subsidiaries is included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Great Lakes Funding II LLC (“Great Lakes”) is a Joint Venture. Great Lakes was established with the Bank of Montreal (“BMO”). All portfolio decisions and generally all other decisions for Great Lakes must be approved by an investment committee of Great Lakes consisting of representatives of BMO and BCPA (with approval from a representative of each required).</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KCAP Freedom 3 LLC (“KCAP”) is a Joint Venture. KCAP was established with Freedom 3 Opportunities LLC (“Freedom 3”). All portfolio decisions and generally all other decisions for KCAP must be approved by an investment committee of KCAP consisting of representatives of Freedom 3 and BCIC (with approval from a representative of each required).</w:t>
      </w:r>
    </w:p>
    <w:p>
      <w:pPr>
        <w:spacing w:after="0" w:line="203" w:lineRule="exact"/>
        <w:rPr>
          <w:sz w:val="20"/>
          <w:szCs w:val="20"/>
          <w:color w:val="auto"/>
        </w:rPr>
      </w:pPr>
    </w:p>
    <w:p>
      <w:pPr>
        <w:ind w:left="964" w:hanging="532"/>
        <w:spacing w:after="0"/>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Proprietary Accounts</w:t>
      </w:r>
    </w:p>
    <w:p>
      <w:pPr>
        <w:spacing w:after="0" w:line="117"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 xml:space="preserve">The Existing Proprietary Accounts will, from time to time, hold various financial assets in a principal capacity. The Existing Proprietary Accounts are included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189" w:lineRule="exact"/>
        <w:rPr>
          <w:sz w:val="20"/>
          <w:szCs w:val="20"/>
          <w:color w:val="auto"/>
        </w:rPr>
      </w:pPr>
    </w:p>
    <w:p>
      <w:pPr>
        <w:ind w:left="964" w:hanging="532"/>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Affiliated Funds</w:t>
      </w:r>
    </w:p>
    <w:p>
      <w:pPr>
        <w:spacing w:after="0" w:line="117" w:lineRule="exact"/>
        <w:rPr>
          <w:sz w:val="20"/>
          <w:szCs w:val="20"/>
          <w:color w:val="auto"/>
        </w:rPr>
      </w:pPr>
    </w:p>
    <w:p>
      <w:pPr>
        <w:ind w:left="4"/>
        <w:spacing w:after="0" w:line="224" w:lineRule="auto"/>
        <w:rPr>
          <w:sz w:val="20"/>
          <w:szCs w:val="20"/>
          <w:color w:val="auto"/>
        </w:rPr>
      </w:pPr>
      <w:r>
        <w:rPr>
          <w:rFonts w:ascii="Times New Roman" w:cs="Times New Roman" w:eastAsia="Times New Roman" w:hAnsi="Times New Roman"/>
          <w:sz w:val="18"/>
          <w:szCs w:val="18"/>
          <w:color w:val="auto"/>
        </w:rPr>
        <w:t>The Existing Affiliated Funds are investment funds each of whose investment adviser is an Existing Adviser and each of which would be an “investment company” (a) but for Section 3(c)(1), 3(c)(5)(C) or 3(c)(7) of the 1940 Act or (b) relies on Rule 3a-7 under the 1940 Act.</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A list of the Existing Affiliated Funds and their respective investment advisers is included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2" w:lineRule="exact"/>
        <w:rPr>
          <w:sz w:val="20"/>
          <w:szCs w:val="20"/>
          <w:color w:val="auto"/>
        </w:rPr>
      </w:pPr>
    </w:p>
    <w:p>
      <w:pPr>
        <w:ind w:left="424" w:right="100" w:hanging="424"/>
        <w:spacing w:after="0" w:line="208" w:lineRule="auto"/>
        <w:tabs>
          <w:tab w:leader="none" w:pos="424"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future, an Affiliated Entity that is not a Regulated Fund may register as an investment company or elect to be regulated as a BDC under the 1940 Act and, if so, will be considered a Regulated Fund for purposes of this application.</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8" w:name="page9"/>
    <w:bookmarkEnd w:id="8"/>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w:t>
        <w:tab/>
        <w:t>ORDER REQUESTED</w:t>
      </w:r>
    </w:p>
    <w:p>
      <w:pPr>
        <w:spacing w:after="0" w:line="12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Applicants request an Order of the Commission under Sections 17(d) and 57(i) of the 1940 Act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each Regulated Fund to be able to participate with one or more Affiliated Entities in Co-Investment Transactions otherwise prohibited by Sections 17(d) and 57(a)(4) of the 1940 Act and Rule 17d-1 thereunder.</w:t>
      </w:r>
    </w:p>
    <w:p>
      <w:pPr>
        <w:spacing w:after="0" w:line="203" w:lineRule="exact"/>
        <w:rPr>
          <w:sz w:val="20"/>
          <w:szCs w:val="20"/>
          <w:color w:val="auto"/>
        </w:rPr>
      </w:pPr>
    </w:p>
    <w:p>
      <w:pPr>
        <w:ind w:left="964" w:hanging="532"/>
        <w:spacing w:after="0"/>
        <w:tabs>
          <w:tab w:leader="none" w:pos="9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117"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Commission may prescribe “for the purpose of limiting or preventing participation by such [fund] on a basis different from or less advantageous than that of such other participant.”</w:t>
      </w:r>
    </w:p>
    <w:p>
      <w:pPr>
        <w:spacing w:after="0" w:line="180" w:lineRule="exact"/>
        <w:rPr>
          <w:sz w:val="20"/>
          <w:szCs w:val="20"/>
          <w:color w:val="auto"/>
        </w:rPr>
      </w:pPr>
    </w:p>
    <w:p>
      <w:pPr>
        <w:ind w:left="4" w:right="100"/>
        <w:spacing w:after="0" w:line="224" w:lineRule="auto"/>
        <w:rPr>
          <w:sz w:val="20"/>
          <w:szCs w:val="20"/>
          <w:color w:val="auto"/>
        </w:rPr>
      </w:pPr>
      <w:r>
        <w:rPr>
          <w:rFonts w:ascii="Times New Roman" w:cs="Times New Roman" w:eastAsia="Times New Roman" w:hAnsi="Times New Roman"/>
          <w:sz w:val="18"/>
          <w:szCs w:val="18"/>
          <w:color w:val="auto"/>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in which the fund is a participant without first obtaining an order from the Commission.</w:t>
      </w:r>
    </w:p>
    <w:p>
      <w:pPr>
        <w:spacing w:after="0" w:line="19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Commission prescribes rules under Section 57(a), the Commission’s rules under Section 17(d) applicable to registered closed-end investment companies will be deemed to apply to persons subject to the prohibitions of Section 57(a). Because the Commission has not adopted any rules under Section 57(a), Rule 17d-1 applies to persons subject to the prohibitions of Section 57(a).</w:t>
      </w:r>
    </w:p>
    <w:p>
      <w:pPr>
        <w:spacing w:after="0" w:line="189"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207" w:lineRule="exact"/>
        <w:rPr>
          <w:sz w:val="20"/>
          <w:szCs w:val="20"/>
          <w:color w:val="auto"/>
        </w:rPr>
      </w:pPr>
    </w:p>
    <w:p>
      <w:pPr>
        <w:ind w:left="964" w:hanging="532"/>
        <w:spacing w:after="0"/>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Relief</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80" w:hanging="424"/>
        <w:spacing w:after="0" w:line="227" w:lineRule="auto"/>
        <w:tabs>
          <w:tab w:leader="none" w:pos="424"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66" w:right="499" w:bottom="1440" w:gutter="0" w:footer="0" w:header="0"/>
        </w:sectPr>
      </w:pPr>
    </w:p>
    <w:bookmarkStart w:id="9" w:name="page10"/>
    <w:bookmarkEnd w:id="9"/>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to be persons related to Regulated Funds in a manner described by Sections 17(d) and 57(b). Because BC Partners and its affiliates own controlling interests in BCPA, Sierra Crest, and RGC, BC Partners may be deemed to control BCPA, Sierra Crest, and RGC. MLC and MLM may be deemed to be under common control with BCPA, Sierra Crest, and RGC because, under a shared resources agreement between BC Partners and MLC, the individuals responsible for the day-to-day operations of BCPA, Sierra Crest, and RGC are the same individuals responsible for the day-to-day operations of MLC and MLM. Each of the Existing Advisers are under common control, and are thus affiliated persons of each other. Accordingly, with respect to the Existing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an Existing Adviser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spacing w:after="0" w:line="217" w:lineRule="exact"/>
        <w:rPr>
          <w:sz w:val="20"/>
          <w:szCs w:val="20"/>
          <w:color w:val="auto"/>
        </w:rPr>
      </w:pPr>
    </w:p>
    <w:p>
      <w:pPr>
        <w:ind w:left="964" w:hanging="532"/>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will be subject to the following Conditions.</w:t>
      </w:r>
    </w:p>
    <w:p>
      <w:pPr>
        <w:spacing w:after="0" w:line="117" w:lineRule="exact"/>
        <w:rPr>
          <w:sz w:val="20"/>
          <w:szCs w:val="20"/>
          <w:color w:val="auto"/>
        </w:rPr>
      </w:pPr>
    </w:p>
    <w:p>
      <w:pPr>
        <w:ind w:left="4" w:right="40" w:firstLine="436"/>
        <w:spacing w:after="0" w:line="255" w:lineRule="auto"/>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w:t>
      </w:r>
      <w:r>
        <w:rPr>
          <w:rFonts w:ascii="Times New Roman" w:cs="Times New Roman" w:eastAsia="Times New Roman" w:hAnsi="Times New Roman"/>
          <w:sz w:val="18"/>
          <w:szCs w:val="18"/>
          <w:color w:val="auto"/>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cs="Times New Roman" w:eastAsia="Times New Roman" w:hAnsi="Times New Roman"/>
          <w:sz w:val="26"/>
          <w:szCs w:val="26"/>
          <w:color w:val="auto"/>
          <w:vertAlign w:val="superscript"/>
        </w:rPr>
        <w:t>13</w:t>
      </w:r>
    </w:p>
    <w:p>
      <w:pPr>
        <w:spacing w:after="0" w:line="2" w:lineRule="exact"/>
        <w:rPr>
          <w:rFonts w:ascii="Times New Roman" w:cs="Times New Roman" w:eastAsia="Times New Roman" w:hAnsi="Times New Roman"/>
          <w:sz w:val="18"/>
          <w:szCs w:val="18"/>
          <w:color w:val="auto"/>
        </w:rPr>
      </w:pPr>
    </w:p>
    <w:p>
      <w:pPr>
        <w:ind w:left="4" w:right="160" w:firstLine="436"/>
        <w:spacing w:after="0" w:line="212" w:lineRule="auto"/>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Investments in the Issuer</w:t>
      </w:r>
      <w:r>
        <w:rPr>
          <w:rFonts w:ascii="Times New Roman" w:cs="Times New Roman" w:eastAsia="Times New Roman" w:hAnsi="Times New Roman"/>
          <w:sz w:val="18"/>
          <w:szCs w:val="18"/>
          <w:color w:val="auto"/>
        </w:rPr>
        <w:t>. Prior to a Regulated Fund acquiring in a Co-Investment Transaction a security of an issuer in which an Affiliated Entity has an existing interest in such issuer, the “required majority,” as defined in Section 57(o) of the 1940 Act,</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of the Regulated Fund (“</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will take the steps set forth in Section 57(f) of the 1940 Act,</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2" w:lineRule="exact"/>
        <w:rPr>
          <w:sz w:val="20"/>
          <w:szCs w:val="20"/>
          <w:color w:val="auto"/>
        </w:rPr>
      </w:pPr>
    </w:p>
    <w:p>
      <w:pPr>
        <w:ind w:left="424" w:right="260" w:hanging="424"/>
        <w:spacing w:after="0" w:line="208" w:lineRule="auto"/>
        <w:tabs>
          <w:tab w:leader="none" w:pos="424"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Such a Board can also, consistent with applicable fund documents, facilitate this opportunity by delegating the authority to veto the selection of such person to a committee of the Board.</w:t>
      </w:r>
    </w:p>
    <w:p>
      <w:pPr>
        <w:spacing w:after="0" w:line="1" w:lineRule="exact"/>
        <w:rPr>
          <w:rFonts w:ascii="Times New Roman" w:cs="Times New Roman" w:eastAsia="Times New Roman" w:hAnsi="Times New Roman"/>
          <w:sz w:val="27"/>
          <w:szCs w:val="27"/>
          <w:color w:val="auto"/>
          <w:vertAlign w:val="superscript"/>
        </w:rPr>
      </w:pPr>
    </w:p>
    <w:p>
      <w:pPr>
        <w:ind w:left="424" w:right="40" w:hanging="424"/>
        <w:spacing w:after="0" w:line="237" w:lineRule="auto"/>
        <w:tabs>
          <w:tab w:leader="none" w:pos="424"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231" w:lineRule="auto"/>
        <w:tabs>
          <w:tab w:leader="none" w:pos="424"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0" w:name="page11"/>
    <w:bookmarkEnd w:id="10"/>
    <w:p>
      <w:pPr>
        <w:jc w:val="both"/>
        <w:ind w:left="4" w:right="80" w:firstLine="436"/>
        <w:spacing w:after="0" w:line="261" w:lineRule="auto"/>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Expenses</w:t>
      </w:r>
      <w:r>
        <w:rPr>
          <w:rFonts w:ascii="Times New Roman" w:cs="Times New Roman" w:eastAsia="Times New Roman" w:hAnsi="Times New Roman"/>
          <w:sz w:val="18"/>
          <w:szCs w:val="18"/>
          <w:color w:val="auto"/>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 w:cs="Times New Roman" w:eastAsia="Times New Roman" w:hAnsi="Times New Roman"/>
          <w:sz w:val="26"/>
          <w:szCs w:val="26"/>
          <w:color w:val="auto"/>
          <w:vertAlign w:val="superscript"/>
        </w:rPr>
        <w:t>16</w:t>
      </w:r>
    </w:p>
    <w:p>
      <w:pPr>
        <w:ind w:left="624" w:hanging="184"/>
        <w:spacing w:after="0" w:line="180" w:lineRule="auto"/>
        <w:tabs>
          <w:tab w:leader="none" w:pos="6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Remuneration</w:t>
      </w:r>
      <w:r>
        <w:rPr>
          <w:rFonts w:ascii="Times New Roman" w:cs="Times New Roman" w:eastAsia="Times New Roman" w:hAnsi="Times New Roman"/>
          <w:sz w:val="17"/>
          <w:szCs w:val="17"/>
          <w:color w:val="auto"/>
        </w:rPr>
        <w:t>. Any transaction fee</w:t>
      </w:r>
      <w:r>
        <w:rPr>
          <w:rFonts w:ascii="Times New Roman" w:cs="Times New Roman" w:eastAsia="Times New Roman" w:hAnsi="Times New Roman"/>
          <w:sz w:val="25"/>
          <w:szCs w:val="25"/>
          <w:color w:val="auto"/>
          <w:vertAlign w:val="superscript"/>
        </w:rPr>
        <w:t>17</w:t>
      </w:r>
      <w:r>
        <w:rPr>
          <w:rFonts w:ascii="Times New Roman" w:cs="Times New Roman" w:eastAsia="Times New Roman" w:hAnsi="Times New Roman"/>
          <w:sz w:val="17"/>
          <w:szCs w:val="17"/>
          <w:color w:val="auto"/>
        </w:rPr>
        <w:t xml:space="preserve"> (including break-up, structuring, monitoring or commitment fees but excluding broker’s fees</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spacing w:after="0" w:line="83" w:lineRule="exact"/>
        <w:rPr>
          <w:rFonts w:ascii="Times New Roman" w:cs="Times New Roman" w:eastAsia="Times New Roman" w:hAnsi="Times New Roman"/>
          <w:sz w:val="17"/>
          <w:szCs w:val="17"/>
          <w:color w:val="auto"/>
        </w:rPr>
      </w:pPr>
    </w:p>
    <w:p>
      <w:pPr>
        <w:ind w:left="4" w:right="160" w:firstLine="436"/>
        <w:spacing w:after="0" w:line="265" w:lineRule="auto"/>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cs="Times New Roman" w:eastAsia="Times New Roman" w:hAnsi="Times New Roman"/>
          <w:sz w:val="18"/>
          <w:szCs w:val="18"/>
          <w:b w:val="1"/>
          <w:bCs w:val="1"/>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provide its Co-Investment Policies to the Regulated Funds and will notify the Regulated Funds of any material changes thereto.</w:t>
      </w:r>
      <w:r>
        <w:rPr>
          <w:rFonts w:ascii="Times New Roman" w:cs="Times New Roman" w:eastAsia="Times New Roman" w:hAnsi="Times New Roman"/>
          <w:sz w:val="26"/>
          <w:szCs w:val="26"/>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 w:lineRule="exact"/>
        <w:rPr>
          <w:sz w:val="20"/>
          <w:szCs w:val="20"/>
          <w:color w:val="auto"/>
        </w:rPr>
      </w:pPr>
    </w:p>
    <w:p>
      <w:pPr>
        <w:ind w:left="424" w:right="320" w:hanging="424"/>
        <w:spacing w:after="0" w:line="208" w:lineRule="auto"/>
        <w:tabs>
          <w:tab w:leader="none" w:pos="424"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Expenses of an individual Participant that are incurred solely by the Participant due to its unique circumstances (such as legal and compliance expenses) will be borne by such Participant.</w:t>
      </w:r>
    </w:p>
    <w:p>
      <w:pPr>
        <w:spacing w:after="0" w:line="1" w:lineRule="exact"/>
        <w:rPr>
          <w:rFonts w:ascii="Times New Roman" w:cs="Times New Roman" w:eastAsia="Times New Roman" w:hAnsi="Times New Roman"/>
          <w:sz w:val="27"/>
          <w:szCs w:val="27"/>
          <w:color w:val="auto"/>
          <w:vertAlign w:val="superscript"/>
        </w:rPr>
      </w:pPr>
    </w:p>
    <w:p>
      <w:pPr>
        <w:ind w:left="424" w:right="100" w:hanging="424"/>
        <w:spacing w:after="0" w:line="200" w:lineRule="auto"/>
        <w:tabs>
          <w:tab w:leader="none" w:pos="424"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ind w:left="424" w:hanging="424"/>
        <w:spacing w:after="0" w:line="180" w:lineRule="auto"/>
        <w:tabs>
          <w:tab w:leader="none" w:pos="424"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Affiliated Entities may adopt shared Co-Investment Policies.</w:t>
      </w:r>
    </w:p>
    <w:p>
      <w:pPr>
        <w:spacing w:after="0" w:line="1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11" w:name="page12"/>
    <w:bookmarkEnd w:id="11"/>
    <w:p>
      <w:pPr>
        <w:ind w:left="624" w:hanging="184"/>
        <w:spacing w:after="0"/>
        <w:tabs>
          <w:tab w:leader="none" w:pos="6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436"/>
        <w:spacing w:after="0" w:line="224" w:lineRule="auto"/>
        <w:tabs>
          <w:tab w:leader="none" w:pos="6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w:t>
      </w:r>
      <w:r>
        <w:rPr>
          <w:rFonts w:ascii="Times New Roman" w:cs="Times New Roman" w:eastAsia="Times New Roman" w:hAnsi="Times New Roman"/>
          <w:sz w:val="26"/>
          <w:szCs w:val="26"/>
          <w:color w:val="auto"/>
          <w:vertAlign w:val="superscript"/>
        </w:rPr>
        <w:t>19</w:t>
      </w:r>
      <w:r>
        <w:rPr>
          <w:rFonts w:ascii="Times New Roman" w:cs="Times New Roman" w:eastAsia="Times New Roman" w:hAnsi="Times New Roman"/>
          <w:sz w:val="18"/>
          <w:szCs w:val="18"/>
          <w:color w:val="auto"/>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spacing w:after="0" w:line="90" w:lineRule="exact"/>
        <w:rPr>
          <w:rFonts w:ascii="Times New Roman" w:cs="Times New Roman" w:eastAsia="Times New Roman" w:hAnsi="Times New Roman"/>
          <w:sz w:val="18"/>
          <w:szCs w:val="18"/>
          <w:color w:val="auto"/>
        </w:rPr>
      </w:pPr>
    </w:p>
    <w:p>
      <w:pPr>
        <w:jc w:val="both"/>
        <w:ind w:left="4" w:right="80" w:firstLine="436"/>
        <w:spacing w:after="0" w:line="261" w:lineRule="auto"/>
        <w:tabs>
          <w:tab w:leader="none" w:pos="6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cs="Times New Roman" w:eastAsia="Times New Roman" w:hAnsi="Times New Roman"/>
          <w:sz w:val="26"/>
          <w:szCs w:val="26"/>
          <w:color w:val="auto"/>
          <w:vertAlign w:val="superscript"/>
        </w:rPr>
        <w:t>20</w:t>
      </w:r>
    </w:p>
    <w:p>
      <w:pPr>
        <w:spacing w:after="0" w:line="1" w:lineRule="exact"/>
        <w:rPr>
          <w:sz w:val="20"/>
          <w:szCs w:val="20"/>
          <w:color w:val="auto"/>
        </w:rPr>
      </w:pPr>
    </w:p>
    <w:p>
      <w:pPr>
        <w:ind w:left="624" w:hanging="184"/>
        <w:spacing w:after="0"/>
        <w:tabs>
          <w:tab w:leader="none" w:pos="6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Oversight</w:t>
      </w:r>
    </w:p>
    <w:p>
      <w:pPr>
        <w:spacing w:after="0" w:line="110" w:lineRule="exact"/>
        <w:rPr>
          <w:rFonts w:ascii="Times New Roman" w:cs="Times New Roman" w:eastAsia="Times New Roman" w:hAnsi="Times New Roman"/>
          <w:sz w:val="18"/>
          <w:szCs w:val="18"/>
          <w:color w:val="auto"/>
        </w:rPr>
      </w:pPr>
    </w:p>
    <w:p>
      <w:pPr>
        <w:ind w:left="1424" w:right="360" w:hanging="439"/>
        <w:spacing w:after="0" w:line="282" w:lineRule="auto"/>
        <w:tabs>
          <w:tab w:leader="none" w:pos="142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directors will oversee the Regulated Fund’s participation in the co-investment program in the exercise of their reasonable business judgment.</w:t>
      </w:r>
    </w:p>
    <w:p>
      <w:pPr>
        <w:spacing w:after="0" w:line="67" w:lineRule="exact"/>
        <w:rPr>
          <w:rFonts w:ascii="Times New Roman" w:cs="Times New Roman" w:eastAsia="Times New Roman" w:hAnsi="Times New Roman"/>
          <w:sz w:val="18"/>
          <w:szCs w:val="18"/>
          <w:color w:val="auto"/>
        </w:rPr>
      </w:pPr>
    </w:p>
    <w:p>
      <w:pPr>
        <w:ind w:left="1424" w:hanging="439"/>
        <w:spacing w:after="0" w:line="261" w:lineRule="auto"/>
        <w:tabs>
          <w:tab w:leader="none" w:pos="142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spacing w:after="0" w:line="85" w:lineRule="exact"/>
        <w:rPr>
          <w:rFonts w:ascii="Times New Roman" w:cs="Times New Roman" w:eastAsia="Times New Roman" w:hAnsi="Times New Roman"/>
          <w:sz w:val="18"/>
          <w:szCs w:val="18"/>
          <w:color w:val="auto"/>
        </w:rPr>
      </w:pPr>
    </w:p>
    <w:p>
      <w:pPr>
        <w:ind w:left="1424" w:right="60" w:hanging="439"/>
        <w:spacing w:after="0" w:line="261" w:lineRule="auto"/>
        <w:tabs>
          <w:tab w:leader="none" w:pos="142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spacing w:after="0" w:line="85" w:lineRule="exact"/>
        <w:rPr>
          <w:rFonts w:ascii="Times New Roman" w:cs="Times New Roman" w:eastAsia="Times New Roman" w:hAnsi="Times New Roman"/>
          <w:sz w:val="18"/>
          <w:szCs w:val="18"/>
          <w:color w:val="auto"/>
        </w:rPr>
      </w:pPr>
    </w:p>
    <w:p>
      <w:pPr>
        <w:ind w:left="1424" w:right="180" w:hanging="439"/>
        <w:spacing w:after="0" w:line="261" w:lineRule="auto"/>
        <w:tabs>
          <w:tab w:leader="none" w:pos="142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spacing w:after="0" w:line="85" w:lineRule="exact"/>
        <w:rPr>
          <w:rFonts w:ascii="Times New Roman" w:cs="Times New Roman" w:eastAsia="Times New Roman" w:hAnsi="Times New Roman"/>
          <w:sz w:val="18"/>
          <w:szCs w:val="18"/>
          <w:color w:val="auto"/>
        </w:rPr>
      </w:pPr>
    </w:p>
    <w:p>
      <w:pPr>
        <w:ind w:left="1424" w:right="280" w:hanging="439"/>
        <w:spacing w:after="0" w:line="289" w:lineRule="auto"/>
        <w:tabs>
          <w:tab w:leader="none" w:pos="142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transfer or other disposition of an interest in a security of an issuer.</w:t>
      </w:r>
    </w:p>
    <w:p>
      <w:pPr>
        <w:spacing w:after="0" w:line="1" w:lineRule="exact"/>
        <w:rPr>
          <w:rFonts w:ascii="Times New Roman" w:cs="Times New Roman" w:eastAsia="Times New Roman" w:hAnsi="Times New Roman"/>
          <w:sz w:val="27"/>
          <w:szCs w:val="27"/>
          <w:color w:val="auto"/>
          <w:vertAlign w:val="superscript"/>
        </w:rPr>
      </w:pPr>
    </w:p>
    <w:p>
      <w:pPr>
        <w:jc w:val="both"/>
        <w:ind w:left="424" w:right="280" w:hanging="424"/>
        <w:spacing w:after="0" w:line="222" w:lineRule="auto"/>
        <w:tabs>
          <w:tab w:leader="none" w:pos="424" w:val="left"/>
        </w:tabs>
        <w:numPr>
          <w:ilvl w:val="0"/>
          <w:numId w:val="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12" w:name="page13"/>
    <w:bookmarkEnd w:id="12"/>
    <w:p>
      <w:pPr>
        <w:ind w:left="4" w:right="320" w:firstLine="436"/>
        <w:spacing w:after="0" w:line="258" w:lineRule="auto"/>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Recordkeeping</w:t>
      </w:r>
      <w:r>
        <w:rPr>
          <w:rFonts w:ascii="Times New Roman" w:cs="Times New Roman" w:eastAsia="Times New Roman" w:hAnsi="Times New Roman"/>
          <w:sz w:val="18"/>
          <w:szCs w:val="18"/>
          <w:color w:val="auto"/>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cs="Times New Roman" w:eastAsia="Times New Roman" w:hAnsi="Times New Roman"/>
          <w:sz w:val="26"/>
          <w:szCs w:val="26"/>
          <w:color w:val="auto"/>
          <w:vertAlign w:val="superscript"/>
        </w:rPr>
        <w:t>21</w:t>
      </w:r>
    </w:p>
    <w:p>
      <w:pPr>
        <w:spacing w:after="0" w:line="3"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Commission adopts a rule under the 1940 Act allowing co-investments of the type described in this Application, any relief granted by the Order will expire on the effective date of that rule.</w:t>
      </w:r>
    </w:p>
    <w:p>
      <w:pPr>
        <w:spacing w:after="0" w:line="32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STATEMENT IN SUPPORT OF RELIEF REQUESTED</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spacing w:after="0" w:line="189" w:lineRule="exact"/>
        <w:rPr>
          <w:sz w:val="20"/>
          <w:szCs w:val="20"/>
          <w:color w:val="auto"/>
        </w:rPr>
      </w:pPr>
    </w:p>
    <w:p>
      <w:pPr>
        <w:ind w:left="964" w:hanging="532"/>
        <w:spacing w:after="0"/>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Benefits to the Regulated Funds and their Shareholders</w:t>
      </w:r>
    </w:p>
    <w:p>
      <w:pPr>
        <w:spacing w:after="0" w:line="11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spacing w:after="0" w:line="219" w:lineRule="exact"/>
        <w:rPr>
          <w:sz w:val="20"/>
          <w:szCs w:val="20"/>
          <w:color w:val="auto"/>
        </w:rPr>
      </w:pPr>
    </w:p>
    <w:p>
      <w:pPr>
        <w:ind w:left="964" w:hanging="532"/>
        <w:spacing w:after="0"/>
        <w:tabs>
          <w:tab w:leader="none" w:pos="9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Protections</w:t>
      </w:r>
    </w:p>
    <w:p>
      <w:pPr>
        <w:spacing w:after="0" w:line="117"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424" w:right="60" w:hanging="424"/>
        <w:spacing w:after="0" w:line="220" w:lineRule="auto"/>
        <w:tabs>
          <w:tab w:leader="none" w:pos="424"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3" w:name="page14"/>
    <w:bookmarkEnd w:id="13"/>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PRECEDENTS</w:t>
      </w:r>
    </w:p>
    <w:p>
      <w:pPr>
        <w:spacing w:after="0" w:line="121" w:lineRule="exact"/>
        <w:rPr>
          <w:sz w:val="20"/>
          <w:szCs w:val="20"/>
          <w:color w:val="auto"/>
        </w:rPr>
      </w:pPr>
    </w:p>
    <w:p>
      <w:pPr>
        <w:ind w:left="4" w:right="280"/>
        <w:spacing w:after="0" w:line="230" w:lineRule="auto"/>
        <w:rPr>
          <w:sz w:val="20"/>
          <w:szCs w:val="20"/>
          <w:color w:val="auto"/>
        </w:rPr>
      </w:pPr>
      <w:r>
        <w:rPr>
          <w:rFonts w:ascii="Times New Roman" w:cs="Times New Roman" w:eastAsia="Times New Roman" w:hAnsi="Times New Roman"/>
          <w:sz w:val="18"/>
          <w:szCs w:val="18"/>
          <w:color w:val="auto"/>
        </w:rPr>
        <w:t>The Commission has previously issued orders permitting certain investment companies subject to regulation under the 1940 Act and their affiliated persons to be able to participate in Co-Investment Transactions (the “</w:t>
      </w:r>
      <w:r>
        <w:rPr>
          <w:rFonts w:ascii="Times New Roman" w:cs="Times New Roman" w:eastAsia="Times New Roman" w:hAnsi="Times New Roman"/>
          <w:sz w:val="18"/>
          <w:szCs w:val="18"/>
          <w:b w:val="1"/>
          <w:bCs w:val="1"/>
          <w:i w:val="1"/>
          <w:iCs w:val="1"/>
          <w:color w:val="auto"/>
        </w:rPr>
        <w:t>Existing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8"/>
          <w:szCs w:val="18"/>
          <w:color w:val="auto"/>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spacing w:after="0" w:line="34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PROCEDURAL MATTERS</w:t>
      </w:r>
    </w:p>
    <w:p>
      <w:pPr>
        <w:spacing w:after="0" w:line="135" w:lineRule="exact"/>
        <w:rPr>
          <w:sz w:val="20"/>
          <w:szCs w:val="20"/>
          <w:color w:val="auto"/>
        </w:rPr>
      </w:pPr>
    </w:p>
    <w:p>
      <w:pPr>
        <w:ind w:left="964" w:hanging="532"/>
        <w:spacing w:after="0"/>
        <w:tabs>
          <w:tab w:leader="none" w:pos="9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the Notice and the Order to:</w:t>
      </w:r>
    </w:p>
    <w:p>
      <w:pPr>
        <w:spacing w:after="0" w:line="200" w:lineRule="exact"/>
        <w:rPr>
          <w:sz w:val="20"/>
          <w:szCs w:val="20"/>
          <w:color w:val="auto"/>
        </w:rPr>
      </w:pPr>
    </w:p>
    <w:p>
      <w:pPr>
        <w:spacing w:after="0" w:line="23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Ted Goldthorpe</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BC Partners Lending Corporation</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650 Madison Avenue</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891-2880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the Order to:</w:t>
      </w:r>
    </w:p>
    <w:p>
      <w:pPr>
        <w:spacing w:after="0" w:line="248" w:lineRule="exact"/>
        <w:rPr>
          <w:sz w:val="20"/>
          <w:szCs w:val="20"/>
          <w:color w:val="auto"/>
        </w:rPr>
      </w:pPr>
    </w:p>
    <w:tbl>
      <w:tblPr>
        <w:tblLayout w:type="fixed"/>
        <w:tblInd w:w="1904" w:type="dxa"/>
        <w:tblCellMar>
          <w:top w:w="0" w:type="dxa"/>
          <w:left w:w="0" w:type="dxa"/>
          <w:bottom w:w="0" w:type="dxa"/>
          <w:right w:w="0" w:type="dxa"/>
        </w:tblCellMar>
      </w:tblPr>
      <w:tr>
        <w:trPr>
          <w:trHeight w:val="216"/>
        </w:trPr>
        <w:tc>
          <w:tcPr>
            <w:tcW w:w="358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Harry S. Pangas</w:t>
            </w:r>
          </w:p>
        </w:tc>
        <w:tc>
          <w:tcPr>
            <w:tcW w:w="39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Alexander C. Karampatsos</w:t>
            </w:r>
          </w:p>
        </w:tc>
      </w:tr>
      <w:tr>
        <w:trPr>
          <w:trHeight w:val="216"/>
        </w:trPr>
        <w:tc>
          <w:tcPr>
            <w:tcW w:w="35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Dechert LLP</w:t>
            </w:r>
          </w:p>
        </w:tc>
        <w:tc>
          <w:tcPr>
            <w:tcW w:w="39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Dechert LLP</w:t>
            </w:r>
          </w:p>
        </w:tc>
      </w:tr>
      <w:tr>
        <w:trPr>
          <w:trHeight w:val="216"/>
        </w:trPr>
        <w:tc>
          <w:tcPr>
            <w:tcW w:w="35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1900 K Street, NW</w:t>
            </w:r>
          </w:p>
        </w:tc>
        <w:tc>
          <w:tcPr>
            <w:tcW w:w="39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1900 K Street, NW</w:t>
            </w:r>
          </w:p>
        </w:tc>
      </w:tr>
      <w:tr>
        <w:trPr>
          <w:trHeight w:val="216"/>
        </w:trPr>
        <w:tc>
          <w:tcPr>
            <w:tcW w:w="35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Washington, DC 20006</w:t>
            </w:r>
          </w:p>
        </w:tc>
        <w:tc>
          <w:tcPr>
            <w:tcW w:w="39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Washington, DC 20006</w:t>
            </w:r>
          </w:p>
        </w:tc>
      </w:tr>
      <w:tr>
        <w:trPr>
          <w:trHeight w:val="238"/>
        </w:trPr>
        <w:tc>
          <w:tcPr>
            <w:tcW w:w="35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(202) 261-3466</w:t>
            </w:r>
          </w:p>
        </w:tc>
        <w:tc>
          <w:tcPr>
            <w:tcW w:w="39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(202) 261-3402</w:t>
            </w:r>
          </w:p>
        </w:tc>
      </w:tr>
    </w:tbl>
    <w:p>
      <w:pPr>
        <w:spacing w:after="0" w:line="238" w:lineRule="exact"/>
        <w:rPr>
          <w:sz w:val="20"/>
          <w:szCs w:val="20"/>
          <w:color w:val="auto"/>
        </w:rPr>
      </w:pPr>
    </w:p>
    <w:p>
      <w:pPr>
        <w:ind w:left="964" w:hanging="532"/>
        <w:spacing w:after="0"/>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Authorizations</w:t>
      </w:r>
    </w:p>
    <w:p>
      <w:pPr>
        <w:spacing w:after="0" w:line="117" w:lineRule="exact"/>
        <w:rPr>
          <w:sz w:val="20"/>
          <w:szCs w:val="20"/>
          <w:color w:val="auto"/>
        </w:rPr>
      </w:pPr>
    </w:p>
    <w:p>
      <w:pPr>
        <w:ind w:left="4" w:right="360"/>
        <w:spacing w:after="0" w:line="266" w:lineRule="auto"/>
        <w:rPr>
          <w:sz w:val="20"/>
          <w:szCs w:val="20"/>
          <w:color w:val="auto"/>
        </w:rPr>
      </w:pPr>
      <w:r>
        <w:rPr>
          <w:rFonts w:ascii="Times New Roman" w:cs="Times New Roman" w:eastAsia="Times New Roman" w:hAnsi="Times New Roman"/>
          <w:sz w:val="18"/>
          <w:szCs w:val="18"/>
          <w:color w:val="auto"/>
        </w:rPr>
        <w:t>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0"/>
          <w:szCs w:val="20"/>
          <w:color w:val="auto"/>
        </w:rPr>
      </w:pPr>
    </w:p>
    <w:p>
      <w:pPr>
        <w:ind w:left="424" w:right="40" w:hanging="424"/>
        <w:spacing w:after="0" w:line="231" w:lineRule="auto"/>
        <w:tabs>
          <w:tab w:leader="none" w:pos="424" w:val="left"/>
        </w:tabs>
        <w:numPr>
          <w:ilvl w:val="0"/>
          <w:numId w:val="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FS Credit Opportunities Corp., et al. (File No. 812-15706), Release No. IC-35520 (April 3, 2025) (notice), Release No. IC-35561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w:t>
      </w:r>
    </w:p>
    <w:p>
      <w:pPr>
        <w:spacing w:after="0" w:line="13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6" w:right="499" w:bottom="1440" w:gutter="0" w:footer="0" w:header="0"/>
        </w:sectPr>
      </w:pPr>
    </w:p>
    <w:bookmarkStart w:id="14" w:name="page15"/>
    <w:bookmarkEnd w:id="1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Applicants have caused this Application to be duly signed on their behalf on the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1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BC PARTNERS LENDING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Piekarski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Piekarski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BCP INVESTMENT CORPORATION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BCP Specialty Finance Fund Originations Series I LLC</w:t>
            </w:r>
          </w:p>
        </w:tc>
      </w:tr>
      <w:tr>
        <w:trPr>
          <w:trHeight w:val="41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BCP Specialty Finance Fund Originations LP, its</w:t>
            </w: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Managing Member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BCP SFF GP LP, its General Partner</w:t>
            </w:r>
          </w:p>
        </w:tc>
      </w:t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BCP SFF GP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Wang</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Henry Wang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BCP Specialty Finance Fund Holdings Series I LLC</w:t>
            </w:r>
          </w:p>
        </w:tc>
      </w:tr>
      <w:tr>
        <w:trPr>
          <w:trHeight w:val="410"/>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BCP Specialty Finance Fund LP, its Managing</w:t>
            </w:r>
          </w:p>
        </w:tc>
      </w:tr>
      <w:tr>
        <w:trPr>
          <w:trHeight w:val="216"/>
        </w:trPr>
        <w:tc>
          <w:tcPr>
            <w:tcW w:w="5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BCP SFF GP LP, its General Partner</w:t>
            </w:r>
          </w:p>
        </w:tc>
      </w:t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BCP SFF GP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Wang</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Henry Wang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ALTERNATIVE CREDIT INCOME FUND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OPPORTUNISTIC CREDIT INTERVAL FUND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MOUNT LOGAN CAPITAL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BC PARTNERS ADVISORS L.P.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 Partners (GP) LLC, as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SIERRA CREST INVESTMENT MANAGEMENT LLC</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MOUNT LOGAN MANAGEMENT,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SPECIAL OPPORTUNITIES FUND II EUR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LP</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LP,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SPECIAL OPPORTUNITIES FUND 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LP</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Holdings GP LLC, its General Partner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Limited,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20"/>
          </w:cols>
          <w:pgMar w:left="1440" w:top="266" w:right="4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BCP SPECIAL OPPORTUNITIES FUND 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ORIGINATIONS LP</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Originations GP LLC, its General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Limited,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SPECIAL OPPORTUNITIES FUND III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LP</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III GP L.L.C.,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SPECIAL OPPORTUNITIES FUND III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ORIGINATIONS LP</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III GP L.L.C., its General Partner</w:t>
      </w:r>
    </w:p>
    <w:p>
      <w:pPr>
        <w:spacing w:after="0" w:line="243"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Wang</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Henry Wang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 and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GARRISON MML CLO 2019-1 LLC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MOUNT LOGAN MANAGEMENT, LLC</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MOUNT LOGAN FUNDING 2018-1 LP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Mount Logan Management, LLC, as Collateral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20"/>
          </w:cols>
          <w:pgMar w:left="1440" w:top="266" w:right="43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MOUNT LOGAN MML CLO 2019-1 LP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Mount Logan Management, LLC, as Collateral</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4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ABILITY INSURANCE COMPANY</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Anna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Anna Elliott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BLUE SKY CREDIT FUND LP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Limited,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GREAT LAKES BCPL FUNDING LTD.</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 Partners Lending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Piekarski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Piekarski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BCPL SUB HOLDINGS LLC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 Partners Lending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Piekarski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Piekarski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KOHLBERG CAPITAL FUNDING LLC I</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PTMN SUB HOLDINGS LLC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560"/>
          </w:cols>
          <w:pgMar w:left="1440" w:top="266" w:right="89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GARRISON CAPITAL EQUITY HOLDINGS II LLC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GARRISON CAPITAL EQUITY HOLDINGS VIII LLC</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GARRISON CAPITAL EQUITY HOLDINGS XI LLC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GIG ROOSTER HOLDINGS I LLC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HCAP EQUITY HOLDINGS, LLC</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00"/>
          </w:cols>
          <w:pgMar w:left="1440" w:top="266" w:right="459" w:bottom="1440" w:gutter="0" w:footer="0" w:header="0"/>
        </w:sectPr>
      </w:pPr>
    </w:p>
    <w:bookmarkStart w:id="19" w:name="page20"/>
    <w:bookmarkEnd w:id="1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CPTA MASTER BLOCKER, INC.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CAPITALA BUSINESS LENDING,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ACIF MASTER BLOCKER,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ALTERNATIVE CREDIT INCOME FUND</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CIF INVESTMENTS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ALTERNATIVE CREDIT INCOME FUND</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SOFIX MASTER BLOCKER,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OPPORTUNISTIC CREDIT INTERVAL FUND</w:t>
      </w:r>
    </w:p>
    <w:p>
      <w:pPr>
        <w:spacing w:after="0" w:line="254"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680"/>
          </w:cols>
          <w:pgMar w:left="1440" w:top="266" w:right="779" w:bottom="1440" w:gutter="0" w:footer="0" w:header="0"/>
        </w:sectPr>
      </w:pPr>
    </w:p>
    <w:bookmarkStart w:id="20" w:name="page21"/>
    <w:bookmarkEnd w:id="2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GREAT LAKES KCAP FUNDING I,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GREAT LAKES FUNDING II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 Partners (GP) LLC, as Manager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GREAT LAKES PORTMAN RIDGE FUNDING, LLC</w:t>
      </w:r>
    </w:p>
    <w:p>
      <w:pPr>
        <w:spacing w:after="0" w:line="1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B. Raterman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RUNWAY GROWTH FINANCE L.P.</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RUNWAY GROWTH FINANCE GP, LLC, 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B. Raterman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RUNWAY GROWTH CAPITAL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B. Raterman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840"/>
          </w:cols>
          <w:pgMar w:left="1440" w:top="266" w:right="619" w:bottom="1440" w:gutter="0" w:footer="0" w:header="0"/>
        </w:sectPr>
      </w:pPr>
    </w:p>
    <w:bookmarkStart w:id="21" w:name="page22"/>
    <w:bookmarkEnd w:id="2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CORNHUSKER FUNDING 1A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Mount Logan Management, LLC, as Investment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CORNHUSKER FUNDING 1B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Mount Logan Management, LLC, as Investment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CORNHUSKER FUNDING 1C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Mount Logan Management, LLC, as Investment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SPARROWHAWK RE SPC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Anna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Anna Elliott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640"/>
          </w:cols>
          <w:pgMar w:left="1440" w:top="266" w:right="8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VERIFICATION</w:t>
      </w:r>
    </w:p>
    <w:p>
      <w:pPr>
        <w:spacing w:after="0" w:line="11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undersigned states that they have duly executed the attached Application for an Order under Sections 17(d) and 57(i) of the Investment Company Act of 1940, as amended, and Rule 17d-1 thereunder, dated June 18, 2026 for and on behalf of the Applicants, as the case may be, that they hold the office with each such entity as indicated below, and that all actions by stockholders, officers, directors, and other bodies necessary to authorize the undersigned to execute and file such Application have been taken. The undersigned further states that they are familiar with the instrument and the contents thereof, and that the facts set forth therein are true to the best of their knowledge, information, and belief.</w:t>
      </w:r>
    </w:p>
    <w:p>
      <w:pPr>
        <w:spacing w:after="0" w:line="20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BC PARTNERS LENDING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Piekarski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Piekarski</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BCP INVESTMENT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BCP Specialty Finance Fund Originations Series I LLC</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BCP Specialty Finance Fund Originations LP, its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BCP SFF GP LP, its General Partner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BCP SFF GP LLC, its General Partner</w:t>
      </w:r>
    </w:p>
    <w:p>
      <w:pPr>
        <w:spacing w:after="0" w:line="24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BCP Specialty Finance Fund Holdings Series I LLC</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BCP Specialty Finance Fund LP, its Managing</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BCP SFF GP LP, its General Partner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BCP SFF GP LLC, its General Partner</w:t>
      </w:r>
    </w:p>
    <w:p>
      <w:pPr>
        <w:spacing w:after="0" w:line="243"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Wang</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Henry Wang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ALTERNATIVE CREDIT INCOME FUND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OPPORTUNISTIC CREDIT INTERVAL FUND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MOUNT LOGAN CAPITAL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1020"/>
          </w:cols>
          <w:pgMar w:left="440" w:top="270" w:right="4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type w:val="continuous"/>
        </w:sectPr>
      </w:pPr>
    </w:p>
    <w:bookmarkStart w:id="23" w:name="page24"/>
    <w:bookmarkEnd w:id="2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 PARTNERS ADVISORS L.P.</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 Partners (GP) LLC, as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SIERRA CREST INVESTMENT MANAGEMENT LLC</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MOUNT LOGAN MANAGEMENT,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SPECIAL OPPORTUNITIES FUND II EUR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LP</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LP,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SPECIAL OPPORTUNITIES FUND 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LP</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Holdings GP LLC,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Limited,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SPECIAL OPPORTUNITIES FUND 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ORIGINATIONS LP</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Originations GP LLC, its General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Limited,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20"/>
          </w:cols>
          <w:pgMar w:left="1440" w:top="266" w:right="439" w:bottom="1440" w:gutter="0" w:footer="0" w:header="0"/>
        </w:sectPr>
      </w:pPr>
    </w:p>
    <w:bookmarkStart w:id="24" w:name="page25"/>
    <w:bookmarkEnd w:id="2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BCP SPECIAL OPPORTUNITIES FUND III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LP</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III GP L.L.C.,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SPECIAL OPPORTUNITIES FUND III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ORIGINATIONS LP</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III GP L.L.C., its General Partner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 and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GARRISON MML CLO 2019-1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MOUNT LOGAN MANAGEMENT, LLC</w:t>
      </w:r>
    </w:p>
    <w:p>
      <w:pPr>
        <w:spacing w:after="0" w:line="243"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MOUNT LOGAN FUNDING 2018-1 LP</w:t>
      </w:r>
    </w:p>
    <w:p>
      <w:pPr>
        <w:spacing w:after="0" w:line="131"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By: Mount Logan Management, LLC, as Collateral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MOUNT LOGAN MML CLO 2019-1 LP</w:t>
      </w:r>
    </w:p>
    <w:p>
      <w:pPr>
        <w:spacing w:after="0" w:line="131"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By: Mount Logan Management, LLC, as Collateral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020"/>
          </w:cols>
          <w:pgMar w:left="1440" w:top="266" w:right="439" w:bottom="1440" w:gutter="0" w:footer="0" w:header="0"/>
        </w:sectPr>
      </w:pPr>
    </w:p>
    <w:bookmarkStart w:id="25" w:name="page26"/>
    <w:bookmarkEnd w:id="2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ABILITY INSURANCE COMPANY</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Anna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Anna Elliott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BLUE SKY CREDIT FUND LP</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SOF II GP LP, its General Partner</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BCP SOF II GP Limited, its General Partner</w:t>
      </w:r>
    </w:p>
    <w:p>
      <w:pPr>
        <w:spacing w:after="0" w:line="254"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 of the General Partner of the GP</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GREAT LAKES BCPL FUNDING LTD.</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 Partners Lending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Piekarski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Piekarski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BCPL SUB HOLDINGS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 Partners Lending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Piekarski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Piekarski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KOHLBERG CAPITAL FUNDING LLC I</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PTMN SUB HOLDINGS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400"/>
          </w:cols>
          <w:pgMar w:left="1440" w:top="266" w:right="1059" w:bottom="1440" w:gutter="0" w:footer="0" w:header="0"/>
        </w:sectPr>
      </w:pPr>
    </w:p>
    <w:bookmarkStart w:id="26" w:name="page27"/>
    <w:bookmarkEnd w:id="2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GARRISON CAPITAL EQUITY HOLDINGS II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GARRISON CAPITAL EQUITY HOLDINGS VIII LLC</w:t>
      </w:r>
    </w:p>
    <w:p>
      <w:pPr>
        <w:spacing w:after="0" w:line="1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GARRISON CAPITAL EQUITY HOLDINGS XI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GIG ROOSTER HOLDINGS I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KCAP FREEDOM 3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HCAP EQUITY HOLDINGS,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000"/>
          </w:cols>
          <w:pgMar w:left="1440" w:top="266" w:right="459" w:bottom="1440" w:gutter="0" w:footer="0" w:header="0"/>
        </w:sectPr>
      </w:pPr>
    </w:p>
    <w:bookmarkStart w:id="27" w:name="page28"/>
    <w:bookmarkEnd w:id="2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CPTA MASTER BLOCKER, INC.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CAPITALA BUSINESS LENDING,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ACIF MASTER BLOCKER,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ALTERNATIVE CREDIT INCOME FUND</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CIF INVESTMENTS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ALTERNATIVE CREDIT INCOME FUND</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SOFIX MASTER BLOCKER,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OPPORTUNISTIC CREDIT INTERVAL FUND</w:t>
      </w:r>
    </w:p>
    <w:p>
      <w:pPr>
        <w:spacing w:after="0" w:line="254"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GREAT LAKES KCAP FUNDING I,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680"/>
          </w:cols>
          <w:pgMar w:left="1440" w:top="266" w:right="779" w:bottom="1440" w:gutter="0" w:footer="0" w:header="0"/>
        </w:sectPr>
      </w:pPr>
    </w:p>
    <w:bookmarkStart w:id="28" w:name="page29"/>
    <w:bookmarkEnd w:id="2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GREAT LAKES FUNDING II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 Partners (GP) LLC, as Manager</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Wang</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GREAT LAKES PORTMAN RIDGE FUNDING, LLC</w:t>
      </w:r>
    </w:p>
    <w:p>
      <w:pPr>
        <w:spacing w:after="0" w:line="1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BCP Investment Corporation</w:t>
      </w:r>
    </w:p>
    <w:p>
      <w:pPr>
        <w:spacing w:after="0" w:line="24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B. Raterman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RUNWAY GROWTH FINANCE L.P.</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RUNWAY GROWTH FINANCE GP, LLC, 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B. Raterman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RUNWAY GROWTH CAPITAL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B. Raterman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CORNHUSKER FUNDING 1A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Mount Logan Management, LLC, as Investment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840"/>
          </w:cols>
          <w:pgMar w:left="1440" w:top="266" w:right="619" w:bottom="1440" w:gutter="0" w:footer="0" w:header="0"/>
        </w:sectPr>
      </w:pPr>
    </w:p>
    <w:bookmarkStart w:id="29" w:name="page30"/>
    <w:bookmarkEnd w:id="2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CORNHUSKER FUNDING 1B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Mount Logan Management, LLC, as Investment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CORNHUSKER FUNDING 1C LLC</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By: Mount Logan Management, LLC, as Investment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SPARROWHAWK RE SPC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Anna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Anna Elliott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Officer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640"/>
          </w:cols>
          <w:pgMar w:left="1440" w:top="266" w:right="819" w:bottom="1440" w:gutter="0" w:footer="0" w:header="0"/>
        </w:sectPr>
      </w:pPr>
    </w:p>
    <w:bookmarkStart w:id="30" w:name="page31"/>
    <w:bookmarkEnd w:id="30"/>
    <w:p>
      <w:pPr>
        <w:ind w:left="49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Wholly-Owned Subsidiaries of BC Partners Lending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BCPL Funding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BCPL Sub Holdings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Wholly-Owned Subsidiaries of BCP Investment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 Sub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Garrison Capital Equity Holdings II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Garrison Capital Equity Holdings VIII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Garrison Capital Equity Holdings XI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 Rooster Holdings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Portman Ridge Funding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HCAP Equity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Capitala Business Lending,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CPTA Master Blocker,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Wholly-Owned Subsidiaries of Alternative Credit Income Fund: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ACIF Master Blocker,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CIF Investments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Wholly-Owned Subsidiaries of Opportunistic Credit Interval Fund: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SOFIX Master Blocker,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KCAP Freedom 3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Funding II LLC</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19"/>
          </w:cols>
          <w:pgMar w:left="440" w:top="266" w:right="1440" w:bottom="1440" w:gutter="0" w:footer="0" w:header="0"/>
        </w:sectPr>
      </w:pPr>
    </w:p>
    <w:bookmarkStart w:id="31" w:name="page32"/>
    <w:bookmarkEnd w:id="31"/>
    <w:p>
      <w:pPr>
        <w:jc w:val="right"/>
        <w:ind w:right="39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Existing Proprietary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 Logan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Insurance Company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019"/>
          </w:cols>
          <w:pgMar w:left="440" w:top="266" w:right="1440" w:bottom="1440" w:gutter="0" w:footer="0" w:header="0"/>
        </w:sectPr>
      </w:pPr>
    </w:p>
    <w:bookmarkStart w:id="32" w:name="page33"/>
    <w:bookmarkEnd w:id="32"/>
    <w:p>
      <w:pPr>
        <w:jc w:val="right"/>
        <w:ind w:right="39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Affiliated Entities: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BC Partners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Special Opportunities Fund II EUR Holdings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Special Opportunities Fund II Holdings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Special Opportunities Fund II Originations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Special Opportunities Fund III Holdings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Special Opportunities Fund III Originations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Specialty Finance Fund Holdings Series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Specialty Finance Fund Originations Series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Sky Credit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Sparrowhawk RE SPC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Mount Logan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Cornhusker Funding 1A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Cornhusker Funding 1B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Cornhusker Funding 1C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Garrison MML CLO 2019-1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 Logan Funding 2018-1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 Logan MML CLO 2019-1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Runway Growth Capital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Runway Growth Finance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Sierra Crest Investment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KCAP Funding 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Kohlberg Capital Funding LLC I</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019"/>
          </w:cols>
          <w:pgMar w:left="440" w:top="266" w:right="1440"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 BC Partners Lending Corporation (the “Company”)</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of Directors deems it advisable and in the best interest of the Company to file with the Securities and Exchange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“Commission”) an application for an Order of Exemption pursuant to Sections 17(d) and 57(i) of the Investment Company Act, as amended (the “1940 Act”), and Rule 17d-1 promulgated thereunder (an “Application”), to authorize the entering into of certain joint transactions and co-investments by the Company with certain entities which may be deemed to be “affiliates” of the Company pursuant to the provisions of the 1940 Act, which such joint transactions and co-investments may otherwise be prohibited by Sections 17(d) and 57(a)(4) of the 1940 Act;</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Company be, and each of them hereby is, authorized and directed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in its name to prepare, execute, and cause to be filed with the Commission the Application, and any amendments thereto; and</w:t>
      </w:r>
    </w:p>
    <w:p>
      <w:pPr>
        <w:spacing w:after="0" w:line="155"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officers of the Company be, and each of them hereby is, authorized and directed to take such further action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 such other documents as such officer or officers shall deem necessary or advisable in order to effectuate the intent of the foregoing resolution.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 BCP Investment Corporation (the “Company”)</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deems it advisable and in the best interest of the Company to file with the Securities and Exchange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“Commission”) an application for an Order of Exemption pursuant to Sections 17(d) and 57(i) of the Investment Company Act, as amended (the “1940 Act”), and Rule 17d-1 promulgated thereunder (an “Application”), to authorize the entering into of certain joint transactions and co-investments by the Company with certain entities which may be deemed to be “affiliates” of the Company pursuant to the provisions of the 1940 Act, which such joint transactions and co-investments may otherwise be prohibited by Sections 17(d) and 57(a)(4) of the 1940 Act;</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Company be, and each of them hereby is, authorized and directed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in its name to prepare, execute, and cause to be filed with the Commission the Application, and any amendments thereto; and</w:t>
      </w:r>
    </w:p>
    <w:p>
      <w:pPr>
        <w:spacing w:after="0" w:line="155"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officers of the Company be, and each of them hereby is, authorized and directed to take such further action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 such other documents as such officer or officers shall deem necessary or advisable in order to effectuate the intent of the foregoing resolution.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of the Board of Trustees of Alternative Credit Income Fund (the “Fund”)</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Trustees deems it advisable and in the best interest of the Fund to file with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an application for an Order of Exemption pursuant to Sections 17(d) and 57(i) of the Investment Company Act, as amended (the “1940 Act”), and Rule 17d-1 promulgated thereunder (an “Application”), to authorize the entering into of certain joint transactions and co-investments by the Fund with certain entities which may be deemed to be “affiliates” of the Fund pursuant to the provisions of the 1940 Act, which such joint transactions and co-investments may otherwise be prohibited by Sections 17(d) and 57(a)(4) of the 1940 Act;</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Fund be, and each of them hereby is, authorized and directed on behalf of the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its name to prepare, execute, and cause to be filed with the Commission the Application, and any amendments thereto; and</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440" w:top="266" w:right="519" w:bottom="1440" w:gutter="0" w:footer="0" w:header="0"/>
        </w:sectPr>
      </w:pPr>
    </w:p>
    <w:bookmarkStart w:id="34" w:name="page35"/>
    <w:bookmarkEnd w:id="34"/>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RESOLVED</w:t>
      </w:r>
      <w:r>
        <w:rPr>
          <w:rFonts w:ascii="Times New Roman" w:cs="Times New Roman" w:eastAsia="Times New Roman" w:hAnsi="Times New Roman"/>
          <w:sz w:val="18"/>
          <w:szCs w:val="18"/>
          <w:color w:val="auto"/>
        </w:rPr>
        <w:t>, that the officers of the Fund be, and each of them hereby is, authorized and directed to take such further action and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documents as such officer or officers shall deem necessary or advisable in order to effectuate the intent of the foregoing resolution.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of the Board of Trustees of Opportunistic Credit Interval Fund (the “Fund”)</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Trustees deems it advisable and in the best interest of the Fund to file with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an application for an Order of Exemption pursuant to Sections 17(d) and 57(i) of the Investment Company Act, as amended (the “1940 Act”), and Rule 17d-1 promulgated thereunder (an “Application”), to authorize the entering into of certain joint transactions and co-investments by the Fund with certain entities which may be deemed to be “affiliates” of the Fund pursuant to the provisions of the 1940 Act, which such joint transactions and co-investments may otherwise be prohibited by Sections 17(d) and 57(a)(4) of the 1940 Act;</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Fund be, and each of them hereby is, authorized and directed on behalf of the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its name to prepare, execute, and cause to be filed with the Commission the Application, and any amendments thereto; and</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of the Fund be, and each of them hereby is, authorized and directed to take such further action and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documents as such officer or officers shall deem necessary or advisable in order to effectuate the intent of the foregoing resolution.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 Runway Growth Finance Corp. (the “Company”)</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deems it advisable and in the best interest of the Company to file with the Securities and Exchange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“Commission”) an application for an Order of Exemption pursuant to Sections 17(d) and 57(i) of the Investment Company Act, as amended (the “1940 Act”), and Rule 17d-1 promulgated thereunder (an “Application”), to authorize the entering into of certain joint transactions and co-investments by the Company with certain entities which may be deemed to be “affiliates” of the Company pursuant to the provisions of the 1940 Act, which such joint transactions and co-investments may otherwise be prohibited by Sections 17(d) and 57(a)(4) of the 1940 Act;</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Company be, and each of them hereby is, authorized and directed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in its name to prepare, execute, and cause to be filed with the Commission the Application, and any amendments thereto; and</w:t>
      </w:r>
    </w:p>
    <w:p>
      <w:pPr>
        <w:spacing w:after="0" w:line="155"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officers of the Company be, and each of them hereby is, authorized and directed to take such further action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 such other documents as such officer or officers shall deem necessary or advisable in order to effectuate the intent of the foregoing resolution.</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upperLetter"/>
      <w:start w:val="9"/>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bullet"/>
      <w:start w:val="1"/>
    </w:lvl>
  </w:abstractNum>
  <w:abstractNum w:abstractNumId="4">
    <w:nsid w:val="8EDBDAB"/>
    <w:multiLevelType w:val="hybridMultilevel"/>
    <w:lvl w:ilvl="0">
      <w:lvlJc w:val="left"/>
      <w:lvlText w:val="2"/>
      <w:numFmt w:val="bullet"/>
      <w:start w:val="1"/>
    </w:lvl>
  </w:abstractNum>
  <w:abstractNum w:abstractNumId="5">
    <w:nsid w:val="79838CB2"/>
    <w:multiLevelType w:val="hybridMultilevel"/>
    <w:lvl w:ilvl="0">
      <w:lvlJc w:val="left"/>
      <w:lvlText w:val="3"/>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4"/>
      <w:numFmt w:val="bullet"/>
      <w:start w:val="1"/>
    </w:lvl>
  </w:abstractNum>
  <w:abstractNum w:abstractNumId="8">
    <w:nsid w:val="189A769B"/>
    <w:multiLevelType w:val="hybridMultilevel"/>
    <w:lvl w:ilvl="0">
      <w:lvlJc w:val="left"/>
      <w:lvlText w:val="5"/>
      <w:numFmt w:val="bullet"/>
      <w:start w:val="1"/>
    </w:lvl>
  </w:abstractNum>
  <w:abstractNum w:abstractNumId="9">
    <w:nsid w:val="54E49EB4"/>
    <w:multiLevelType w:val="hybridMultilevel"/>
    <w:lvl w:ilvl="0">
      <w:lvlJc w:val="left"/>
      <w:lvlText w:val="6"/>
      <w:numFmt w:val="bullet"/>
      <w:start w:val="1"/>
    </w:lvl>
  </w:abstractNum>
  <w:abstractNum w:abstractNumId="10">
    <w:nsid w:val="71F32454"/>
    <w:multiLevelType w:val="hybridMultilevel"/>
    <w:lvl w:ilvl="0">
      <w:lvlJc w:val="left"/>
      <w:lvlText w:val="7"/>
      <w:numFmt w:val="bullet"/>
      <w:start w:val="1"/>
    </w:lvl>
  </w:abstractNum>
  <w:abstractNum w:abstractNumId="11">
    <w:nsid w:val="2CA88611"/>
    <w:multiLevelType w:val="hybridMultilevel"/>
    <w:lvl w:ilvl="0">
      <w:lvlJc w:val="left"/>
      <w:lvlText w:val="%1."/>
      <w:numFmt w:val="upperLetter"/>
      <w:start w:val="35"/>
    </w:lvl>
  </w:abstractNum>
  <w:abstractNum w:abstractNumId="12">
    <w:nsid w:val="836C40E"/>
    <w:multiLevelType w:val="hybridMultilevel"/>
    <w:lvl w:ilvl="0">
      <w:lvlJc w:val="left"/>
      <w:lvlText w:val="%1."/>
      <w:numFmt w:val="upperLetter"/>
      <w:start w:val="2"/>
    </w:lvl>
  </w:abstractNum>
  <w:abstractNum w:abstractNumId="13">
    <w:nsid w:val="2901D82"/>
    <w:multiLevelType w:val="hybridMultilevel"/>
    <w:lvl w:ilvl="0">
      <w:lvlJc w:val="left"/>
      <w:lvlText w:val="%1."/>
      <w:numFmt w:val="upperLetter"/>
      <w:start w:val="3"/>
    </w:lvl>
  </w:abstractNum>
  <w:abstractNum w:abstractNumId="14">
    <w:nsid w:val="3A95F874"/>
    <w:multiLevelType w:val="hybridMultilevel"/>
    <w:lvl w:ilvl="0">
      <w:lvlJc w:val="left"/>
      <w:lvlText w:val="8"/>
      <w:numFmt w:val="bullet"/>
      <w:start w:val="1"/>
    </w:lvl>
  </w:abstractNum>
  <w:abstractNum w:abstractNumId="15">
    <w:nsid w:val="8138641"/>
    <w:multiLevelType w:val="hybridMultilevel"/>
    <w:lvl w:ilvl="0">
      <w:lvlJc w:val="left"/>
      <w:lvlText w:val="9"/>
      <w:numFmt w:val="bullet"/>
      <w:start w:val="1"/>
    </w:lvl>
  </w:abstractNum>
  <w:abstractNum w:abstractNumId="16">
    <w:nsid w:val="1E7FF521"/>
    <w:multiLevelType w:val="hybridMultilevel"/>
    <w:lvl w:ilvl="0">
      <w:lvlJc w:val="left"/>
      <w:lvlText w:val="%1"/>
      <w:numFmt w:val="decimal"/>
      <w:start w:val="10"/>
    </w:lvl>
  </w:abstractNum>
  <w:abstractNum w:abstractNumId="17">
    <w:nsid w:val="7C3DBD3D"/>
    <w:multiLevelType w:val="hybridMultilevel"/>
    <w:lvl w:ilvl="0">
      <w:lvlJc w:val="left"/>
      <w:lvlText w:val="%1."/>
      <w:numFmt w:val="upperLetter"/>
      <w:start w:val="4"/>
    </w:lvl>
  </w:abstractNum>
  <w:abstractNum w:abstractNumId="18">
    <w:nsid w:val="737B8DDC"/>
    <w:multiLevelType w:val="hybridMultilevel"/>
    <w:lvl w:ilvl="0">
      <w:lvlJc w:val="left"/>
      <w:lvlText w:val="%1."/>
      <w:numFmt w:val="upperLetter"/>
      <w:start w:val="5"/>
    </w:lvl>
  </w:abstractNum>
  <w:abstractNum w:abstractNumId="19">
    <w:nsid w:val="6CEAF087"/>
    <w:multiLevelType w:val="hybridMultilevel"/>
    <w:lvl w:ilvl="0">
      <w:lvlJc w:val="left"/>
      <w:lvlText w:val="%1."/>
      <w:numFmt w:val="upperLetter"/>
      <w:start w:val="6"/>
    </w:lvl>
  </w:abstractNum>
  <w:abstractNum w:abstractNumId="20">
    <w:nsid w:val="22221A70"/>
    <w:multiLevelType w:val="hybridMultilevel"/>
    <w:lvl w:ilvl="0">
      <w:lvlJc w:val="left"/>
      <w:lvlText w:val="%1."/>
      <w:numFmt w:val="upperLetter"/>
      <w:start w:val="7"/>
    </w:lvl>
  </w:abstractNum>
  <w:abstractNum w:abstractNumId="21">
    <w:nsid w:val="4516DDE9"/>
    <w:multiLevelType w:val="hybridMultilevel"/>
    <w:lvl w:ilvl="0">
      <w:lvlJc w:val="left"/>
      <w:lvlText w:val="%1."/>
      <w:numFmt w:val="upperLetter"/>
      <w:start w:val="8"/>
    </w:lvl>
  </w:abstractNum>
  <w:abstractNum w:abstractNumId="22">
    <w:nsid w:val="3006C83E"/>
    <w:multiLevelType w:val="hybridMultilevel"/>
    <w:lvl w:ilvl="0">
      <w:lvlJc w:val="left"/>
      <w:lvlText w:val="%1."/>
      <w:numFmt w:val="upperLetter"/>
      <w:start w:val="9"/>
    </w:lvl>
  </w:abstractNum>
  <w:abstractNum w:abstractNumId="23">
    <w:nsid w:val="614FD4A1"/>
    <w:multiLevelType w:val="hybridMultilevel"/>
    <w:lvl w:ilvl="0">
      <w:lvlJc w:val="left"/>
      <w:lvlText w:val="%1"/>
      <w:numFmt w:val="decimal"/>
      <w:start w:val="11"/>
    </w:lvl>
  </w:abstractNum>
  <w:abstractNum w:abstractNumId="24">
    <w:nsid w:val="419AC241"/>
    <w:multiLevelType w:val="hybridMultilevel"/>
    <w:lvl w:ilvl="0">
      <w:lvlJc w:val="left"/>
      <w:lvlText w:val="%1."/>
      <w:numFmt w:val="upperLetter"/>
      <w:start w:val="1"/>
    </w:lvl>
  </w:abstractNum>
  <w:abstractNum w:abstractNumId="25">
    <w:nsid w:val="5577F8E1"/>
    <w:multiLevelType w:val="hybridMultilevel"/>
    <w:lvl w:ilvl="0">
      <w:lvlJc w:val="left"/>
      <w:lvlText w:val="%1."/>
      <w:numFmt w:val="upperLetter"/>
      <w:start w:val="2"/>
    </w:lvl>
  </w:abstractNum>
  <w:abstractNum w:abstractNumId="26">
    <w:nsid w:val="440BADFC"/>
    <w:multiLevelType w:val="hybridMultilevel"/>
    <w:lvl w:ilvl="0">
      <w:lvlJc w:val="left"/>
      <w:lvlText w:val="%1"/>
      <w:numFmt w:val="decimal"/>
      <w:start w:val="12"/>
    </w:lvl>
  </w:abstractNum>
  <w:abstractNum w:abstractNumId="27">
    <w:nsid w:val="5072367"/>
    <w:multiLevelType w:val="hybridMultilevel"/>
    <w:lvl w:ilvl="0">
      <w:lvlJc w:val="left"/>
      <w:lvlText w:val="%1."/>
      <w:numFmt w:val="upperLetter"/>
      <w:start w:val="3"/>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3"/>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1"/>
      <w:numFmt w:val="decimal"/>
      <w:start w:val="16"/>
    </w:lvl>
  </w:abstractNum>
  <w:abstractNum w:abstractNumId="32">
    <w:nsid w:val="2463B9EA"/>
    <w:multiLevelType w:val="hybridMultilevel"/>
    <w:lvl w:ilvl="0">
      <w:lvlJc w:val="left"/>
      <w:lvlText w:val="%1."/>
      <w:numFmt w:val="decimal"/>
      <w:start w:val="6"/>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7"/>
    </w:lvl>
    <w:lvl w:ilvl="1">
      <w:lvlJc w:val="left"/>
      <w:lvlText w:val="(%2)"/>
      <w:numFmt w:val="lowerLetter"/>
      <w:start w:val="1"/>
    </w:lvl>
  </w:abstractNum>
  <w:abstractNum w:abstractNumId="35">
    <w:nsid w:val="2D517796"/>
    <w:multiLevelType w:val="hybridMultilevel"/>
    <w:lvl w:ilvl="0">
      <w:lvlJc w:val="left"/>
      <w:lvlText w:val="%1"/>
      <w:numFmt w:val="decimal"/>
      <w:start w:val="19"/>
    </w:lvl>
  </w:abstractNum>
  <w:abstractNum w:abstractNumId="36">
    <w:nsid w:val="580BD78F"/>
    <w:multiLevelType w:val="hybridMultilevel"/>
    <w:lvl w:ilvl="0">
      <w:lvlJc w:val="left"/>
      <w:lvlText w:val="%1."/>
      <w:numFmt w:val="decimal"/>
      <w:start w:val="8"/>
    </w:lvl>
  </w:abstractNum>
  <w:abstractNum w:abstractNumId="37">
    <w:nsid w:val="153EA438"/>
    <w:multiLevelType w:val="hybridMultilevel"/>
    <w:lvl w:ilvl="0">
      <w:lvlJc w:val="left"/>
      <w:lvlText w:val="%1."/>
      <w:numFmt w:val="upperLetter"/>
      <w:start w:val="1"/>
    </w:lvl>
  </w:abstractNum>
  <w:abstractNum w:abstractNumId="38">
    <w:nsid w:val="3855585C"/>
    <w:multiLevelType w:val="hybridMultilevel"/>
    <w:lvl w:ilvl="0">
      <w:lvlJc w:val="left"/>
      <w:lvlText w:val="%1."/>
      <w:numFmt w:val="upperLetter"/>
      <w:start w:val="2"/>
    </w:lvl>
  </w:abstractNum>
  <w:abstractNum w:abstractNumId="39">
    <w:nsid w:val="70A64E2A"/>
    <w:multiLevelType w:val="hybridMultilevel"/>
    <w:lvl w:ilvl="0">
      <w:lvlJc w:val="left"/>
      <w:lvlText w:val="%1"/>
      <w:numFmt w:val="decimal"/>
      <w:start w:val="21"/>
    </w:lvl>
  </w:abstractNum>
  <w:abstractNum w:abstractNumId="40">
    <w:nsid w:val="6A2342EC"/>
    <w:multiLevelType w:val="hybridMultilevel"/>
    <w:lvl w:ilvl="0">
      <w:lvlJc w:val="left"/>
      <w:lvlText w:val="%1."/>
      <w:numFmt w:val="upperLetter"/>
      <w:start w:val="22"/>
    </w:lvl>
  </w:abstractNum>
  <w:abstractNum w:abstractNumId="41">
    <w:nsid w:val="2A487CB0"/>
    <w:multiLevelType w:val="hybridMultilevel"/>
    <w:lvl w:ilvl="0">
      <w:lvlJc w:val="left"/>
      <w:lvlText w:val="%1."/>
      <w:numFmt w:val="upperLetter"/>
      <w:start w:val="1"/>
    </w:lvl>
  </w:abstractNum>
  <w:abstractNum w:abstractNumId="42">
    <w:nsid w:val="1D4ED43B"/>
    <w:multiLevelType w:val="hybridMultilevel"/>
    <w:lvl w:ilvl="0">
      <w:lvlJc w:val="left"/>
      <w:lvlText w:val="%1."/>
      <w:numFmt w:val="upperLetter"/>
      <w:start w:val="2"/>
    </w:lvl>
  </w:abstractNum>
  <w:abstractNum w:abstractNumId="43">
    <w:nsid w:val="725A06FB"/>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2026-06-18T15:40:20Z</dcterms:created>
  <dcterms:modified xsi:type="dcterms:W3CDTF">2026-06-18T15:40:20Z</dcterms:modified>
</cp:coreProperties>
</file>