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ic-20260630.htm"/>
      <w:bookmarkStart w:id="1" w:name="ksbcic20260630"/>
      <w:bookmarkEnd w:id="0"/>
      <w:bookmarkEnd w:id="1"/>
      <w:r>
        <w:rPr/>
        <w:t> </w:t>
      </w:r>
    </w:p>
    <w:p>
      <w:pPr>
        <w:pStyle w:val="TextBody"/>
        <w:pBdr>
          <w:bottom w:val="single" w:sz="12" w:space="1" w:color="000000"/>
        </w:pBdr>
        <w:bidi w:val="0"/>
        <w:jc w:val="center"/>
        <w:rPr/>
      </w:pPr>
      <w:r>
        <w:rPr/>
        <w:t> </w:t>
      </w:r>
    </w:p>
    <w:p>
      <w:pPr>
        <w:pStyle w:val="TextBody"/>
        <w:bidi w:val="0"/>
        <w:jc w:val="left"/>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spacing w:before="80" w:after="283"/>
        <w:jc w:val="both"/>
        <w:rPr/>
      </w:pPr>
      <w:r>
        <w:rPr>
          <w:color w:val="000000"/>
        </w:rPr>
        <w:t xml:space="preserve">☒ </w:t>
      </w:r>
      <w:r>
        <w:rPr>
          <w:rFonts w:ascii="Times New Roman" w:hAnsi="Times New Roman"/>
          <w:b/>
          <w:color w:val="000000"/>
          <w:sz w:val="16"/>
        </w:rPr>
        <w:t>QUARTERLY REPORT PURSUANT TO SECTION 13 OR 15(d) OF THE SECURITIES EXCHANGE ACT OF 1934</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For the quarterly period ended June 30, 2026</w:t>
      </w:r>
    </w:p>
    <w:p>
      <w:pPr>
        <w:pStyle w:val="TextBody"/>
        <w:bidi w:val="0"/>
        <w:spacing w:before="80" w:after="283"/>
        <w:jc w:val="both"/>
        <w:rPr/>
      </w:pPr>
      <w:r>
        <w:rPr>
          <w:color w:val="000000"/>
        </w:rPr>
        <w:t xml:space="preserve">☐ </w:t>
      </w:r>
      <w:r>
        <w:rPr>
          <w:rFonts w:ascii="Times New Roman" w:hAnsi="Times New Roman"/>
          <w:b/>
          <w:color w:val="000000"/>
          <w:sz w:val="16"/>
        </w:rPr>
        <w:t>TRANSITION REPORT PURSUANT TO SECTION 13 OR 15(d) OF THE SECURITIES EXCHANGE ACT OF 1934</w:t>
      </w:r>
    </w:p>
    <w:p>
      <w:pPr>
        <w:pStyle w:val="TextBody"/>
        <w:bidi w:val="0"/>
        <w:jc w:val="center"/>
        <w:rPr>
          <w:rFonts w:ascii="Times New Roman" w:hAnsi="Times New Roman"/>
          <w:b/>
          <w:color w:val="000000"/>
          <w:sz w:val="16"/>
        </w:rPr>
      </w:pPr>
      <w:r>
        <w:rPr>
          <w:rFonts w:ascii="Times New Roman" w:hAnsi="Times New Roman"/>
          <w:b/>
          <w:color w:val="000000"/>
          <w:sz w:val="16"/>
        </w:rPr>
        <w:t>For the transition period from to</w:t>
      </w:r>
    </w:p>
    <w:p>
      <w:pPr>
        <w:pStyle w:val="TextBody"/>
        <w:bidi w:val="0"/>
        <w:jc w:val="center"/>
        <w:rPr>
          <w:rFonts w:ascii="Times New Roman" w:hAnsi="Times New Roman"/>
          <w:b/>
          <w:color w:val="000000"/>
          <w:sz w:val="16"/>
        </w:rPr>
      </w:pPr>
      <w:r>
        <w:rPr>
          <w:rFonts w:ascii="Times New Roman" w:hAnsi="Times New Roman"/>
          <w:b/>
          <w:color w:val="000000"/>
          <w:sz w:val="16"/>
        </w:rPr>
        <w:t>Commission File No. 814-00735</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348" w:type="dxa"/>
        <w:jc w:val="left"/>
        <w:tblInd w:w="0" w:type="dxa"/>
        <w:tblLayout w:type="fixed"/>
        <w:tblCellMar>
          <w:top w:w="28" w:type="dxa"/>
          <w:left w:w="28" w:type="dxa"/>
          <w:bottom w:w="28" w:type="dxa"/>
          <w:right w:w="28" w:type="dxa"/>
        </w:tblCellMar>
      </w:tblPr>
      <w:tblGrid>
        <w:gridCol w:w="2386"/>
        <w:gridCol w:w="146"/>
        <w:gridCol w:w="18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20-5951150</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650 Madison Avenue, 3rd Floor</w:t>
      </w:r>
    </w:p>
    <w:p>
      <w:pPr>
        <w:pStyle w:val="TextBody"/>
        <w:bidi w:val="0"/>
        <w:jc w:val="center"/>
        <w:rPr>
          <w:rFonts w:ascii="Times New Roman" w:hAnsi="Times New Roman"/>
          <w:sz w:val="16"/>
        </w:rPr>
      </w:pPr>
      <w:r>
        <w:rPr>
          <w:rFonts w:ascii="Times New Roman" w:hAnsi="Times New Roman"/>
          <w:b/>
          <w:color w:val="000000"/>
          <w:sz w:val="20"/>
        </w:rPr>
        <w:t>New York, New York</w:t>
      </w:r>
      <w:r>
        <w:rPr>
          <w:rFonts w:ascii="Times New Roman" w:hAnsi="Times New Roman"/>
          <w:color w:val="000000"/>
          <w:sz w:val="16"/>
        </w:rPr>
        <w:t xml:space="preserve"> </w:t>
      </w:r>
      <w:r>
        <w:rPr>
          <w:rFonts w:ascii="Times New Roman" w:hAnsi="Times New Roman"/>
          <w:b/>
          <w:color w:val="000000"/>
          <w:sz w:val="20"/>
        </w:rPr>
        <w:t>10022</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(212) 891-2880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8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8440" w:type="dxa"/>
        <w:jc w:val="left"/>
        <w:tblInd w:w="0" w:type="dxa"/>
        <w:tblLayout w:type="fixed"/>
        <w:tblCellMar>
          <w:top w:w="28" w:type="dxa"/>
          <w:left w:w="28" w:type="dxa"/>
          <w:bottom w:w="28" w:type="dxa"/>
          <w:right w:w="28" w:type="dxa"/>
        </w:tblCellMar>
      </w:tblPr>
      <w:tblGrid>
        <w:gridCol w:w="3106"/>
        <w:gridCol w:w="146"/>
        <w:gridCol w:w="1561"/>
        <w:gridCol w:w="146"/>
        <w:gridCol w:w="348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BCIC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80" w:after="283"/>
        <w:jc w:val="both"/>
        <w:rPr>
          <w:rFonts w:ascii="Times New Roman" w:hAnsi="Times New Roman"/>
          <w:sz w:val="16"/>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16"/>
        </w:rPr>
        <w:t xml:space="preserve"> ☒ </w:t>
      </w:r>
      <w:r>
        <w:rPr>
          <w:rFonts w:ascii="Times New Roman" w:hAnsi="Times New Roman"/>
          <w:color w:val="000000"/>
          <w:sz w:val="18"/>
        </w:rPr>
        <w:t xml:space="preserve">No </w:t>
      </w:r>
      <w:r>
        <w:rPr>
          <w:rFonts w:ascii="Times New Roman" w:hAnsi="Times New Roman"/>
          <w:color w:val="000000"/>
          <w:sz w:val="16"/>
        </w:rPr>
        <w:t>☐</w:t>
      </w:r>
    </w:p>
    <w:p>
      <w:pPr>
        <w:pStyle w:val="TextBody"/>
        <w:bidi w:val="0"/>
        <w:spacing w:before="80" w:after="283"/>
        <w:jc w:val="both"/>
        <w:rPr>
          <w:rFonts w:ascii="Times New Roman" w:hAnsi="Times New Roman"/>
          <w:sz w:val="16"/>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16"/>
        </w:rPr>
        <w:t xml:space="preserve"> ☒ </w:t>
      </w:r>
      <w:r>
        <w:rPr>
          <w:rFonts w:ascii="Times New Roman" w:hAnsi="Times New Roman"/>
          <w:color w:val="000000"/>
          <w:sz w:val="18"/>
        </w:rPr>
        <w:t xml:space="preserve">No </w:t>
      </w:r>
      <w:r>
        <w:rPr>
          <w:rFonts w:ascii="Times New Roman" w:hAnsi="Times New Roman"/>
          <w:color w:val="000000"/>
          <w:sz w:val="16"/>
        </w:rPr>
        <w:t>☐</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rFonts w:ascii="Times New Roman" w:hAnsi="Times New Roman"/>
          <w:sz w:val="16"/>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16"/>
        </w:rPr>
        <w:t>☐</w:t>
      </w:r>
    </w:p>
    <w:p>
      <w:pPr>
        <w:pStyle w:val="TextBody"/>
        <w:bidi w:val="0"/>
        <w:spacing w:before="80" w:after="283"/>
        <w:jc w:val="both"/>
        <w:rPr>
          <w:rFonts w:ascii="Times New Roman" w:hAnsi="Times New Roman"/>
          <w:sz w:val="16"/>
        </w:rPr>
      </w:pPr>
      <w:r>
        <w:rPr>
          <w:rFonts w:ascii="Times New Roman" w:hAnsi="Times New Roman"/>
          <w:color w:val="000000"/>
          <w:sz w:val="18"/>
        </w:rPr>
        <w:t xml:space="preserve">Indicate by check mark whether the registrant is a shell company (as defined in Rule 12b-2 of the Act). Yes </w:t>
      </w:r>
      <w:r>
        <w:rPr>
          <w:rFonts w:ascii="Times New Roman" w:hAnsi="Times New Roman"/>
          <w:color w:val="000000"/>
          <w:sz w:val="16"/>
        </w:rPr>
        <w:t xml:space="preserve">☐ </w:t>
      </w:r>
      <w:r>
        <w:rPr>
          <w:rFonts w:ascii="Times New Roman" w:hAnsi="Times New Roman"/>
          <w:color w:val="000000"/>
          <w:sz w:val="18"/>
        </w:rPr>
        <w:t xml:space="preserve">No </w:t>
      </w:r>
      <w:r>
        <w:rPr>
          <w:rFonts w:ascii="Times New Roman" w:hAnsi="Times New Roman"/>
          <w:color w:val="000000"/>
          <w:sz w:val="16"/>
        </w:rPr>
        <w:t>☒</w:t>
      </w:r>
    </w:p>
    <w:p>
      <w:pPr>
        <w:pStyle w:val="TextBody"/>
        <w:bidi w:val="0"/>
        <w:jc w:val="left"/>
        <w:rPr/>
      </w:pPr>
      <w:r>
        <w:rPr/>
        <w:t> </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The number of outstanding shares of common stock of the registrant as of August 3, 2026 was 12,383,652.</w:t>
      </w:r>
    </w:p>
    <w:p>
      <w:pPr>
        <w:pStyle w:val="TextBody"/>
        <w:bidi w:val="0"/>
        <w:jc w:val="left"/>
        <w:rPr>
          <w:rFonts w:ascii="Times New Roman" w:hAnsi="Times New Roman"/>
          <w:sz w:val="16"/>
        </w:rPr>
      </w:pPr>
      <w:r>
        <w:rPr>
          <w:rFonts w:ascii="Times New Roman" w:hAnsi="Times New Roman"/>
          <w:color w:val="000000"/>
          <w:sz w:val="8"/>
        </w:rPr>
        <w:br/>
      </w:r>
      <w:r>
        <w:rPr>
          <w:rFonts w:ascii="Times New Roman" w:hAnsi="Times New Roman"/>
          <w:color w:val="000000"/>
          <w:sz w:val="16"/>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12"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tbl>
      <w:tblPr>
        <w:tblW w:w="10168" w:type="dxa"/>
        <w:jc w:val="left"/>
        <w:tblInd w:w="0" w:type="dxa"/>
        <w:tblLayout w:type="fixed"/>
        <w:tblCellMar>
          <w:top w:w="28" w:type="dxa"/>
          <w:left w:w="28" w:type="dxa"/>
          <w:bottom w:w="28" w:type="dxa"/>
          <w:right w:w="28" w:type="dxa"/>
        </w:tblCellMar>
      </w:tblPr>
      <w:tblGrid>
        <w:gridCol w:w="1041"/>
        <w:gridCol w:w="8596"/>
        <w:gridCol w:w="531"/>
      </w:tblGrid>
      <w:tr>
        <w:trPr/>
        <w:tc>
          <w:tcPr>
            <w:tcW w:w="1041" w:type="dxa"/>
            <w:tcBorders/>
            <w:vAlign w:val="center"/>
          </w:tcPr>
          <w:p>
            <w:pPr>
              <w:pStyle w:val="TableContents"/>
              <w:bidi w:val="0"/>
              <w:spacing w:before="0" w:after="283"/>
              <w:jc w:val="left"/>
              <w:rPr>
                <w:sz w:val="4"/>
                <w:szCs w:val="4"/>
              </w:rPr>
            </w:pPr>
            <w:r>
              <w:rPr>
                <w:sz w:val="4"/>
                <w:szCs w:val="4"/>
              </w:rPr>
            </w:r>
          </w:p>
        </w:tc>
        <w:tc>
          <w:tcPr>
            <w:tcW w:w="859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FF"/>
                <w:sz w:val="16"/>
                <w:u w:val="single"/>
              </w:rPr>
            </w:pPr>
            <w:r>
              <w:rPr>
                <w:rFonts w:ascii="Times New Roman" w:hAnsi="Times New Roman"/>
                <w:b/>
                <w:color w:val="0000FF"/>
                <w:sz w:val="16"/>
                <w:u w:val="single"/>
              </w:rPr>
              <w:t>Part I. Financial Information</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1.</w:t>
            </w:r>
          </w:p>
        </w:tc>
        <w:tc>
          <w:tcPr>
            <w:tcW w:w="8596"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bs">
              <w:r>
                <w:rPr>
                  <w:rStyle w:val="InternetLink"/>
                  <w:rFonts w:ascii="Times New Roman" w:hAnsi="Times New Roman"/>
                  <w:color w:val="0000FF"/>
                  <w:sz w:val="16"/>
                  <w:u w:val="single"/>
                </w:rPr>
                <w:t>Financial Statements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bs">
              <w:r>
                <w:rPr>
                  <w:rStyle w:val="InternetLink"/>
                  <w:rFonts w:ascii="Times New Roman" w:hAnsi="Times New Roman"/>
                  <w:color w:val="0000FF"/>
                  <w:sz w:val="16"/>
                  <w:u w:val="single"/>
                </w:rPr>
                <w:t>Consolidated Statements of Assets and Liabilities as of June 30, 2026 (unaudited) and December 31, 2025</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s">
              <w:r>
                <w:rPr>
                  <w:rStyle w:val="InternetLink"/>
                  <w:rFonts w:ascii="Times New Roman" w:hAnsi="Times New Roman"/>
                  <w:color w:val="0000FF"/>
                  <w:sz w:val="16"/>
                  <w:u w:val="single"/>
                </w:rPr>
                <w:t>Consolidated Statements of Operations for the three and six months ended June 30, 2026 and 2025 (unaudited)</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ocna">
              <w:r>
                <w:rPr>
                  <w:rStyle w:val="InternetLink"/>
                  <w:rFonts w:ascii="Times New Roman" w:hAnsi="Times New Roman"/>
                  <w:color w:val="0000FF"/>
                  <w:sz w:val="16"/>
                  <w:u w:val="single"/>
                </w:rPr>
                <w:t>Consolidated Statements of Changes in Net Assets for the three and six months ended June 30, 2026 and 2025 (unaudited)</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cf">
              <w:r>
                <w:rPr>
                  <w:rStyle w:val="InternetLink"/>
                  <w:rFonts w:ascii="Times New Roman" w:hAnsi="Times New Roman"/>
                  <w:color w:val="0000FF"/>
                  <w:sz w:val="16"/>
                  <w:u w:val="single"/>
                </w:rPr>
                <w:t>Consolidated Statements of Cash Flows for the</w:t>
              </w:r>
            </w:hyperlink>
            <w:hyperlink w:anchor="scf">
              <w:r>
                <w:rPr>
                  <w:rStyle w:val="InternetLink"/>
                  <w:rFonts w:ascii="Times New Roman" w:hAnsi="Times New Roman"/>
                  <w:color w:val="0000FF"/>
                  <w:sz w:val="16"/>
                </w:rPr>
                <w:t xml:space="preserve"> </w:t>
              </w:r>
            </w:hyperlink>
            <w:hyperlink w:anchor="socna">
              <w:r>
                <w:rPr>
                  <w:rStyle w:val="InternetLink"/>
                  <w:rFonts w:ascii="Times New Roman" w:hAnsi="Times New Roman"/>
                  <w:color w:val="0000FF"/>
                  <w:sz w:val="16"/>
                  <w:u w:val="single"/>
                </w:rPr>
                <w:t>six months ended June 30, 2026 and 2025</w:t>
              </w:r>
            </w:hyperlink>
            <w:hyperlink w:anchor="socna">
              <w:r>
                <w:rPr>
                  <w:rStyle w:val="InternetLink"/>
                  <w:rFonts w:ascii="Times New Roman" w:hAnsi="Times New Roman"/>
                  <w:color w:val="0000FF"/>
                  <w:sz w:val="16"/>
                </w:rPr>
                <w:t xml:space="preserve"> </w:t>
              </w:r>
            </w:hyperlink>
            <w:hyperlink w:anchor="scf">
              <w:r>
                <w:rPr>
                  <w:rStyle w:val="InternetLink"/>
                  <w:rFonts w:ascii="Times New Roman" w:hAnsi="Times New Roman"/>
                  <w:color w:val="0000FF"/>
                  <w:sz w:val="16"/>
                  <w:u w:val="single"/>
                </w:rPr>
                <w:t>(unaudited)</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oi_cq">
              <w:r>
                <w:rPr>
                  <w:rStyle w:val="InternetLink"/>
                  <w:rFonts w:ascii="Times New Roman" w:hAnsi="Times New Roman"/>
                  <w:color w:val="0000FF"/>
                  <w:sz w:val="16"/>
                  <w:u w:val="single"/>
                </w:rPr>
                <w:t>Consolidated Schedules of Investments as of June 30, 2026 (unaudited) and December 31, 2025</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fihi">
              <w:r>
                <w:rPr>
                  <w:rStyle w:val="InternetLink"/>
                  <w:rFonts w:ascii="Times New Roman" w:hAnsi="Times New Roman"/>
                  <w:color w:val="0000FF"/>
                  <w:sz w:val="16"/>
                  <w:u w:val="single"/>
                </w:rPr>
                <w:t>Consolidated Financial Highlights for the six months ended June 30, 2026 and 2025 (unaudited)</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16"/>
                  <w:u w:val="single"/>
                </w:rPr>
                <w:t>Notes to Consolidated Financial Statements as of and for the period ended June 30, 2026 (unaudited)</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2.</w:t>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16"/>
                  <w:u w:val="single"/>
                </w:rPr>
                <w:t>Management’s Discussion and Analysis of Financial Condition and Results of Operations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3.</w:t>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16"/>
                  <w:u w:val="single"/>
                </w:rPr>
                <w:t>Quantitative and Qualitative Disclosures About Market Risk</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4.</w:t>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5_controls_procedures">
              <w:r>
                <w:rPr>
                  <w:rStyle w:val="InternetLink"/>
                  <w:rFonts w:ascii="Times New Roman" w:hAnsi="Times New Roman"/>
                  <w:color w:val="0000FF"/>
                  <w:sz w:val="16"/>
                  <w:u w:val="single"/>
                </w:rPr>
                <w:t>Controls and Procedures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Times New Roman" w:hAnsi="Times New Roman"/>
                  <w:b/>
                  <w:color w:val="0000FF"/>
                  <w:sz w:val="16"/>
                  <w:u w:val="single"/>
                </w:rPr>
                <w:t>Part II. Other Information</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1.</w:t>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16"/>
                  <w:u w:val="single"/>
                </w:rPr>
                <w:t>Legal Proceedings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1A.</w:t>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16"/>
                  <w:u w:val="single"/>
                </w:rPr>
                <w:t>Risk Factors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2.</w:t>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16"/>
                  <w:u w:val="single"/>
                </w:rPr>
                <w:t>Unregistered Sales of Equity Securities and Use of Proceeds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3.</w:t>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16"/>
                  <w:u w:val="single"/>
                </w:rPr>
                <w:t>Defaults Upon Senior Securities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4.</w:t>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16"/>
                  <w:u w:val="single"/>
                </w:rPr>
                <w:t>Mine Safety Disclosures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5.</w:t>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16"/>
                  <w:u w:val="single"/>
                </w:rPr>
                <w:t>Other Information</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Item 6.</w:t>
            </w:r>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16"/>
                  <w:u w:val="single"/>
                </w:rPr>
                <w:t>Exhibits</w:t>
              </w:r>
            </w:hyperlink>
          </w:p>
        </w:tc>
        <w:tc>
          <w:tcPr>
            <w:tcW w:w="5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69</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hyperlink w:anchor="signatures">
              <w:r>
                <w:rPr>
                  <w:rStyle w:val="InternetLink"/>
                  <w:rFonts w:ascii="Times New Roman" w:hAnsi="Times New Roman"/>
                  <w:color w:val="0000FF"/>
                  <w:sz w:val="16"/>
                  <w:u w:val="single"/>
                </w:rPr>
                <w:t>Signatures</w:t>
              </w:r>
            </w:hyperlink>
          </w:p>
        </w:tc>
        <w:tc>
          <w:tcPr>
            <w:tcW w:w="8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NOTE ABOUT REFERENCES TO BCP INVESTMENT CORPORATION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this Quarterly Report on Form 10-Q, the “Company”, “BCIC”, “we”, “us” and “our” refer to BCP Investment Corporation and its wholly-owned subsidiaries, unless the context otherwise requires.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CAUTIONARY STATEMENT CONCERNING FORWARD-LOOKING STATEMENTS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information contained in this item should be read in conjunction with our consolidated financial statements and notes thereto appearing elsewhere in this Quarterly Report and in conjunction with the financial statements and notes thereto in the Company’s Form 10-K for the year ended December 31, 2025, as filed with the U.S. Securities and Exchange Commission (the “SEC”). In addition, some of the statements in this report constitute forward-looking statements. The matters discussed in this Quarterly Report, as well as in future oral and written statements by the Company,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 “plan,” “anticipate,” “could,” “intend,” “target,” “project,” “outlook,” “believe,” “estimate,” “predict,”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our ability to successfully and profitably integrate acquired assets and companies,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future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business prospects and the prospects of our existing and prospective portfolio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return or impact of current and future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contractual arrangements and other relationships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dependence of our future success on the general economy and its impact on the industries in which we invest;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financial condition and ability of our existing and prospective portfolio companies to achieve their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expected financings and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ability to operate as a business development company under the Investment Company Act of 1940 and a regulated investment company under Subchapter M of the Internal Revenue Code of 1986, including the impact of changes in laws or regulations governing our operations or the operations of our portfolio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adequacy of our available liquidity, cash resources and working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timing of cash flows, if any, from the operations of our portfolio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ability of Sierra Crest Investment Management LLC (the “Adviser”) to locate suitable investments for us to monitor and administer our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ability of the Adviser to attract and retain highly talented professionals;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actual and potential conflicts of interest with the Adviser and its affiliates;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effect of legal, tax, and regulatory changes on us and our portfolio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impact of a protracted decline in the liquidity of credit markets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impact of fluctuations in interest rates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valuation of our investments in portfolio companies, particularly those having no liquid trading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ability to recover unrealized losses;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market conditions and our ability to access additional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an economic downturn could have a material adverse effect on our portfolio companies’ results of operations and financial condition, which could lead to a loss on some or all of our investments in such portfolio companies and have a material adverse effect on our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timing, form and amount of any dividend distributions;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risks related to certain mergers diverting management’s attention from ongoing business operations.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a more detailed discussion of factors that could cause our actual results to differ from forward-looking statements contained in this Quarterly Report, please see the discussion in Part II, “Item 1A. Risk Factors” of this Quarterly Report, and in Part I, “Item 1A. Risk Factors” in our Annual Report on Form 10-K for the fiscal year ended December 31, 2025.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16"/>
        </w:rPr>
      </w:pPr>
      <w:r>
        <w:rPr>
          <w:rFonts w:ascii="Times New Roman" w:hAnsi="Times New Roman"/>
          <w:b/>
          <w:color w:val="000000"/>
          <w:sz w:val="16"/>
        </w:rPr>
        <w:t>PART I. FINANCIAL INFORMATION</w:t>
      </w:r>
      <w:r>
        <w:rPr>
          <w:rFonts w:ascii="Times New Roman" w:hAnsi="Times New Roman"/>
          <w:color w:val="000000"/>
          <w:sz w:val="16"/>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Item 1. Financial Statements</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STATEMENTS OF ASSETS AND LIABILITIES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pPr>
      <w:r>
        <w:rPr/>
        <w:t> </w:t>
      </w:r>
    </w:p>
    <w:p>
      <w:pPr>
        <w:pStyle w:val="TextBody"/>
        <w:bidi w:val="0"/>
        <w:jc w:val="both"/>
        <w:rPr/>
      </w:pPr>
      <w:bookmarkStart w:id="3" w:name="bs"/>
      <w:bookmarkEnd w:id="3"/>
      <w:r>
        <w:rPr/>
        <w:t> </w:t>
      </w:r>
    </w:p>
    <w:tbl>
      <w:tblPr>
        <w:tblW w:w="10205" w:type="dxa"/>
        <w:jc w:val="left"/>
        <w:tblInd w:w="0" w:type="dxa"/>
        <w:tblLayout w:type="fixed"/>
        <w:tblCellMar>
          <w:top w:w="28" w:type="dxa"/>
          <w:left w:w="28" w:type="dxa"/>
          <w:bottom w:w="28" w:type="dxa"/>
          <w:right w:w="28" w:type="dxa"/>
        </w:tblCellMar>
      </w:tblPr>
      <w:tblGrid>
        <w:gridCol w:w="7335"/>
        <w:gridCol w:w="209"/>
        <w:gridCol w:w="803"/>
        <w:gridCol w:w="166"/>
        <w:gridCol w:w="146"/>
        <w:gridCol w:w="238"/>
        <w:gridCol w:w="914"/>
        <w:gridCol w:w="394"/>
      </w:tblGrid>
      <w:tr>
        <w:trPr/>
        <w:tc>
          <w:tcPr>
            <w:tcW w:w="73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 (amortized cost of $381,680 and $433,213, respectively)</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409,735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 (amortized cost of $113,208 and $90,294, respectively)</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80,585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 (amortized cost of $42,089 and $42,332, respectively)</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 at fair value (amortized cost of $536,977 and $565,839, respectively)</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Receivable for unsettled trades</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receivable</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523,641</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 (net of deferred financing costs and original issue discount of $24 and $312, respectively)</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 Notes (net of deferred financing costs and original issue discount of $712 and $851, respectively)</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34,149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 Notes (net of deferred financing costs of $847 and $—, respectively)</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Notes (net of deferred financing costs and original issue discount of $2,213 and $2,423, respectively)</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72,577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 (net of deferred financing costs and original issue discount of $96 and $102, respectively)</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Portman Ridge Funding LLC Revolving Credit Facility (net of deferred financing costs of $576 and $825, respectively)</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106,804</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 (net of deferred financing costs of $781 and $904, respectively)</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41,765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 for unsettled trades</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payable</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accrued expenses and other liabilities</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1,714</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payable</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314,485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COMMITMENTS AND CONTINGENCIES</w:t>
            </w:r>
            <w:r>
              <w:rPr>
                <w:rFonts w:ascii="Times New Roman" w:hAnsi="Times New Roman"/>
                <w:color w:val="000000"/>
                <w:sz w:val="16"/>
              </w:rPr>
              <w:t> </w:t>
            </w:r>
            <w:r>
              <w:rPr>
                <w:rFonts w:ascii="Times New Roman" w:hAnsi="Times New Roman"/>
                <w:b/>
                <w:color w:val="000000"/>
                <w:sz w:val="16"/>
              </w:rPr>
              <w:t>(NOTE 8)</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par value $0.01 per share, 20,000,000 common shares authorized; 14,015,059 issued, and 12,381,742 outstanding as of June 30, 2026, and 14,003,016 issued, and 12,541,858 outstanding as of December 31, 2025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in excess of par value</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811,111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(loss) earnings</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(602,080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209,156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523,641</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Common Share</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STATEMENTS OF OPERATIONS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jc w:val="left"/>
        <w:rPr/>
      </w:pPr>
      <w:bookmarkStart w:id="4" w:name="is"/>
      <w:bookmarkEnd w:id="4"/>
      <w:r>
        <w:rPr/>
        <w:t> </w:t>
      </w:r>
    </w:p>
    <w:tbl>
      <w:tblPr>
        <w:tblW w:w="10205" w:type="dxa"/>
        <w:jc w:val="left"/>
        <w:tblInd w:w="0" w:type="dxa"/>
        <w:tblLayout w:type="fixed"/>
        <w:tblCellMar>
          <w:top w:w="28" w:type="dxa"/>
          <w:left w:w="28" w:type="dxa"/>
          <w:bottom w:w="28" w:type="dxa"/>
          <w:right w:w="28" w:type="dxa"/>
        </w:tblCellMar>
      </w:tblPr>
      <w:tblGrid>
        <w:gridCol w:w="3687"/>
        <w:gridCol w:w="146"/>
        <w:gridCol w:w="209"/>
        <w:gridCol w:w="981"/>
        <w:gridCol w:w="177"/>
        <w:gridCol w:w="156"/>
        <w:gridCol w:w="209"/>
        <w:gridCol w:w="885"/>
        <w:gridCol w:w="166"/>
        <w:gridCol w:w="146"/>
        <w:gridCol w:w="202"/>
        <w:gridCol w:w="949"/>
        <w:gridCol w:w="172"/>
        <w:gridCol w:w="151"/>
        <w:gridCol w:w="202"/>
        <w:gridCol w:w="856"/>
        <w:gridCol w:w="166"/>
        <w:gridCol w:w="146"/>
        <w:gridCol w:w="599"/>
      </w:tblGrid>
      <w:tr>
        <w:trPr/>
        <w:tc>
          <w:tcPr>
            <w:tcW w:w="3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22,088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24,202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Non-controlled/non-affiliated investments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payment-in-kind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1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w:t>
            </w:r>
          </w:p>
        </w:tc>
        <w:tc>
          <w:tcPr>
            <w:tcW w:w="1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fees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32,763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Performance-based incentive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and 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Administrative services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Directors’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12,408</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gains (losses) from investment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(10,482</w:t>
            </w:r>
          </w:p>
        </w:tc>
        <w:tc>
          <w:tcPr>
            <w:tcW w:w="1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4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(12,504</w:t>
            </w:r>
          </w:p>
        </w:tc>
        <w:tc>
          <w:tcPr>
            <w:tcW w:w="1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(provision) benefit on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and unrealized appreciation (depreciation) on investments,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(9,874</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(20,047</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Increase (Decrease) In Net Assets Resulting from Operations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Weighted Average Shares of Common Stock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12,377,806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9,204,657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12,406,681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9,201,451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8"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pPr>
      <w:r>
        <w:rPr>
          <w:rFonts w:ascii="Times New Roman" w:hAnsi="Times New Roman"/>
          <w:color w:val="000000"/>
          <w:sz w:val="14"/>
        </w:rPr>
        <w:t>During the three months ended June 30, 2026, the Company did not receive any non-recurring fee income that was paid in-kind, compared to $0.1</w:t>
      </w:r>
      <w:r>
        <w:rPr>
          <w:color w:val="000000"/>
        </w:rPr>
        <w:t xml:space="preserve"> </w:t>
      </w:r>
      <w:r>
        <w:rPr>
          <w:rFonts w:ascii="Times New Roman" w:hAnsi="Times New Roman"/>
          <w:color w:val="000000"/>
          <w:sz w:val="14"/>
        </w:rPr>
        <w:t>million for the three months ended June 30, 2025, which was included in this financial statement line item. During the six months ended June 30, 2026 and 2025, the Company received $0.6</w:t>
      </w:r>
      <w:r>
        <w:rPr>
          <w:color w:val="000000"/>
        </w:rPr>
        <w:t xml:space="preserve"> </w:t>
      </w:r>
      <w:r>
        <w:rPr>
          <w:rFonts w:ascii="Times New Roman" w:hAnsi="Times New Roman"/>
          <w:color w:val="000000"/>
          <w:sz w:val="14"/>
        </w:rPr>
        <w:t>million and $0.3</w:t>
      </w:r>
      <w:r>
        <w:rPr>
          <w:color w:val="000000"/>
        </w:rPr>
        <w:t xml:space="preserve"> </w:t>
      </w:r>
      <w:r>
        <w:rPr>
          <w:rFonts w:ascii="Times New Roman" w:hAnsi="Times New Roman"/>
          <w:color w:val="000000"/>
          <w:sz w:val="14"/>
        </w:rPr>
        <w:t>million, respectively, of non-recurring fee income that was paid in-kind and included in this financial statement line item.</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jc w:val="center"/>
        <w:rPr>
          <w:rFonts w:ascii="Times New Roman" w:hAnsi="Times New Roman"/>
          <w:color w:val="000000"/>
          <w:sz w:val="14"/>
        </w:rPr>
      </w:pPr>
      <w:r>
        <w:rPr>
          <w:rFonts w:ascii="Times New Roman" w:hAnsi="Times New Roman"/>
          <w:color w:val="000000"/>
          <w:sz w:val="14"/>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sz w:val="16"/>
        </w:rPr>
      </w:pPr>
      <w:r>
        <w:rPr>
          <w:rFonts w:ascii="Times New Roman" w:hAnsi="Times New Roman"/>
          <w:b/>
          <w:color w:val="000000"/>
          <w:sz w:val="16"/>
        </w:rPr>
        <w:t>CONSOLIDATED STATEMENTS OF CHANGES IN NET ASSETS</w:t>
      </w:r>
      <w:r>
        <w:rPr>
          <w:rFonts w:ascii="Times New Roman" w:hAnsi="Times New Roman"/>
          <w:b/>
          <w:color w:val="000000"/>
          <w:sz w:val="11"/>
        </w:rPr>
        <w:t>(1)</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bookmarkStart w:id="5" w:name="socna"/>
      <w:bookmarkEnd w:id="5"/>
      <w:r>
        <w:rPr/>
        <w:t> </w:t>
      </w:r>
    </w:p>
    <w:tbl>
      <w:tblPr>
        <w:tblW w:w="10205" w:type="dxa"/>
        <w:jc w:val="left"/>
        <w:tblInd w:w="0" w:type="dxa"/>
        <w:tblLayout w:type="fixed"/>
        <w:tblCellMar>
          <w:top w:w="28" w:type="dxa"/>
          <w:left w:w="28" w:type="dxa"/>
          <w:bottom w:w="28" w:type="dxa"/>
          <w:right w:w="28" w:type="dxa"/>
        </w:tblCellMar>
      </w:tblPr>
      <w:tblGrid>
        <w:gridCol w:w="3949"/>
        <w:gridCol w:w="146"/>
        <w:gridCol w:w="214"/>
        <w:gridCol w:w="1002"/>
        <w:gridCol w:w="181"/>
        <w:gridCol w:w="159"/>
        <w:gridCol w:w="214"/>
        <w:gridCol w:w="903"/>
        <w:gridCol w:w="166"/>
        <w:gridCol w:w="146"/>
        <w:gridCol w:w="205"/>
        <w:gridCol w:w="960"/>
        <w:gridCol w:w="174"/>
        <w:gridCol w:w="152"/>
        <w:gridCol w:w="205"/>
        <w:gridCol w:w="866"/>
        <w:gridCol w:w="166"/>
        <w:gridCol w:w="397"/>
      </w:tblGrid>
      <w:tr>
        <w:trPr/>
        <w:tc>
          <w:tcPr>
            <w:tcW w:w="3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from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 (provision) benefit on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(20,047</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 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decrease in net assets resulting from stockholder 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Capital share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under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capital share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w:t>
            </w:r>
          </w:p>
        </w:tc>
        <w:tc>
          <w:tcPr>
            <w:tcW w:w="17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97"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193,005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209,156</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179,462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179,462</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shares outstanding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12,381,742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9,207,851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12,381,742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9,207,851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pBdr>
          <w:bottom w:val="single" w:sz="8"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Refer to Note 9 — “Stockholders’ Equity” of our notes to the consolidated financial statements for additional information on changes in components of Stockholders’ Equity.</w:t>
      </w:r>
    </w:p>
    <w:p>
      <w:pPr>
        <w:pStyle w:val="TextBody"/>
        <w:bidi w:val="0"/>
        <w:jc w:val="left"/>
        <w:rPr/>
      </w:pPr>
      <w:r>
        <w:rPr/>
        <w:t>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STATEMENTS OF CASH FLOWS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jc w:val="center"/>
        <w:rPr/>
      </w:pPr>
      <w:bookmarkStart w:id="6" w:name="scf"/>
      <w:bookmarkEnd w:id="6"/>
      <w:r>
        <w:rPr/>
        <w:t> </w:t>
      </w:r>
    </w:p>
    <w:tbl>
      <w:tblPr>
        <w:tblW w:w="10205" w:type="dxa"/>
        <w:jc w:val="left"/>
        <w:tblInd w:w="0" w:type="dxa"/>
        <w:tblLayout w:type="fixed"/>
        <w:tblCellMar>
          <w:top w:w="28" w:type="dxa"/>
          <w:left w:w="28" w:type="dxa"/>
          <w:bottom w:w="28" w:type="dxa"/>
          <w:right w:w="28" w:type="dxa"/>
        </w:tblCellMar>
      </w:tblPr>
      <w:tblGrid>
        <w:gridCol w:w="6815"/>
        <w:gridCol w:w="146"/>
        <w:gridCol w:w="232"/>
        <w:gridCol w:w="785"/>
        <w:gridCol w:w="196"/>
        <w:gridCol w:w="173"/>
        <w:gridCol w:w="232"/>
        <w:gridCol w:w="785"/>
        <w:gridCol w:w="166"/>
        <w:gridCol w:w="675"/>
      </w:tblGrid>
      <w:tr>
        <w:trPr/>
        <w:tc>
          <w:tcPr>
            <w:tcW w:w="6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Adjustments to reconcile net increase (decrease) in stockholders’ equity resulting from operations to net cash (used in) provided by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Net realized (gains) losses on investment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Net change in unrealized (appreciation) depreciation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Tax provision (benefit) on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Proceeds from sales and redemptions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Net accretion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Net realized (gain) 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receivable for unsettled trades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dividend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payable for unsettled trades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management and incentive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due to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Increase (decrease) in accounts payable,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32,221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Distributions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Repayment of Great Lakes Portman Ridge Funding LLC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Repayment of KeyBank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Borrowings from KeyBank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Repayment of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Proceeds from issuance of 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(36,994</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(21,264</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per statements of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Information and 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Cash paid for interest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681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Reinvestment of 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pPr>
      <w:r>
        <w:rPr/>
        <w:t>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jc w:val="center"/>
        <w:rPr>
          <w:rFonts w:ascii="Times New Roman" w:hAnsi="Times New Roman"/>
          <w:color w:val="000000"/>
          <w:sz w:val="14"/>
        </w:rPr>
      </w:pPr>
      <w:r>
        <w:rPr>
          <w:rFonts w:ascii="Times New Roman" w:hAnsi="Times New Roman"/>
          <w:color w:val="000000"/>
          <w:sz w:val="14"/>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As of June 30, 2026</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jc w:val="center"/>
        <w:rPr/>
      </w:pPr>
      <w:bookmarkStart w:id="7" w:name="soi_cq"/>
      <w:bookmarkEnd w:id="7"/>
      <w:r>
        <w:rPr/>
        <w:t> </w:t>
      </w:r>
    </w:p>
    <w:tbl>
      <w:tblPr>
        <w:tblW w:w="10205" w:type="dxa"/>
        <w:jc w:val="left"/>
        <w:tblInd w:w="0" w:type="dxa"/>
        <w:tblLayout w:type="fixed"/>
        <w:tblCellMar>
          <w:top w:w="28" w:type="dxa"/>
          <w:left w:w="28" w:type="dxa"/>
          <w:bottom w:w="28" w:type="dxa"/>
          <w:right w:w="28" w:type="dxa"/>
        </w:tblCellMar>
      </w:tblPr>
      <w:tblGrid>
        <w:gridCol w:w="2565"/>
        <w:gridCol w:w="1591"/>
        <w:gridCol w:w="756"/>
        <w:gridCol w:w="1122"/>
        <w:gridCol w:w="480"/>
        <w:gridCol w:w="586"/>
        <w:gridCol w:w="191"/>
        <w:gridCol w:w="570"/>
        <w:gridCol w:w="146"/>
        <w:gridCol w:w="166"/>
        <w:gridCol w:w="436"/>
        <w:gridCol w:w="151"/>
        <w:gridCol w:w="173"/>
        <w:gridCol w:w="456"/>
        <w:gridCol w:w="151"/>
        <w:gridCol w:w="665"/>
      </w:tblGrid>
      <w:tr>
        <w:trPr/>
        <w:tc>
          <w:tcPr>
            <w:tcW w:w="256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Non-Control, Non-Affiliate Portfolio Companies - 193.0%</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- 147.3%</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 Scents Inc.</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Personal Care Products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10.48%</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+ 6.75%</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 Scents Inc. (Revolver)</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Personal Care Products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10.44%</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+ 6.75%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Accurate Background, LLC</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9.99%</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03/26/29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AIDC IntermediateCo 2, LLC (Peak Technologies)</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9.14%</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07/22/27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AMCP Pet Holdings, Inc.</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 Distribution &amp; Retail</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 3.00% PIK</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01/04/28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AMCP Pet Holdings, Inc. (Revolver)</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 Distribution &amp; Retail</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 3.00% PIK</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01/04/28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13.01%</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+ 9.25%, 5.00% PIK</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Ancile Solutions, Inc.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13.94%</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+ 10.00%</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06/11/26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(2025 Delayed Draw Term Loan)</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9.49%</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 9.49% PIK</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(Hollywood Suites Delayed Draw Term Loan)</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9.49%</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 9.49% PIK</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(Term Loan B)</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(Term Loan 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Appfire Technologies, LLC</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8.48%</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03/09/28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9.48%</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 (Revolver)</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04/02/29</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Parent Corp.</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9.49%</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Parent Corp. (Revolver)</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10/21/27</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Buzz Finco, LLC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Interactive Media &amp; Services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10.39%</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04/24/30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CCMG Buyer, LLC (Care Connectors Medical Group)</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8.39%</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CCMG Buyer, LLC (Care Connectors Medical Group) (Revolver)</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05/08/30</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Inc.</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9.15%</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08/06/29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Inc. (Term Loan A1)</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02/06/31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Inc. (Term Loan A2)</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11.65% PIK</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 11.65% PIK</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02/06/31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Colonnade Intermediate, LLC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Colonnade Intermediate, LLC (Revolver)</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10.98%</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 4.25% PIK</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 (Revolver)</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10.98%</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 4.25% PIK</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Professional Services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10.04%</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 (Second Out)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Professional Services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8.54%</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Epic Staffing Group</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Professional Services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9.67%</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First Lien, Term Loan A</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9.23%</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First Lien, Term Loan B</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9.23%</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First Lien, Term Loan C</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9.23%</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Integrated Flooring Systems Inc.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12.66%</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+ 9.00%, 6.00% PIK</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Integrated Flooring Systems Inc. (Revolver)</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12.64%</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+ 9.00%, 6.00% PIK</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GP Midco, LLC (Beauty by Imagination)</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Personal Care Products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8.66%</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HDC/HW Intermediate Holdings, LLC - Term Loan A</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HDC/HW Intermediate Holdings, LLC - Term Loan B</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08/21/26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Help Systems Holdings, Inc.</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Technology Hardware, Storage &amp; Peripherals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9.77%</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IDC Infusion Services LLC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8.73%</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07/09/29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8.41%</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 - NewCo</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9.41%</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Live Comfortably Inc.</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Durables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13.76%</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+ 10.00%, 2.00% PIK</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Live Comfortably Inc. Term Loan B</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Durables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13.76%</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+ 10.00%, 2.00% PIK</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9.33%</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Metrc Inc.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9.23%</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Metrc Inc. (Revolver)</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09/30/31</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Money Transfer Acquisition Inc.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11.99%</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+ 8.25%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12/14/27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(Revolver)</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11.82%</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(Term Loan A)</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11.82%</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(Term Loan B)</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11.80%</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MSM Acquisitions, Inc.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9.67%</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12/09/26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Netwrix Corporation</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8.39%</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Netwrix Corporation (Revolver)</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06/11/29</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Newbury Franklin Industrials, LLC</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Trading Companies &amp; Distributors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10.62%</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Ground Transportation</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Orthopaedic (ITC) Buyer, LLC</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8.73%</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Payarc LLC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05/22/31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Payarc LLC (Revolver)</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05/22/31</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PhyNet Dermatology LLC</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10.18%</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jc w:val="center"/>
        <w:rPr>
          <w:rFonts w:ascii="Times New Roman" w:hAnsi="Times New Roman"/>
          <w:color w:val="000000"/>
          <w:sz w:val="14"/>
        </w:rPr>
      </w:pPr>
      <w:r>
        <w:rPr>
          <w:rFonts w:ascii="Times New Roman" w:hAnsi="Times New Roman"/>
          <w:color w:val="000000"/>
          <w:sz w:val="14"/>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June 30, 2026</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55"/>
        <w:gridCol w:w="1806"/>
        <w:gridCol w:w="755"/>
        <w:gridCol w:w="1152"/>
        <w:gridCol w:w="479"/>
        <w:gridCol w:w="586"/>
        <w:gridCol w:w="166"/>
        <w:gridCol w:w="670"/>
        <w:gridCol w:w="146"/>
        <w:gridCol w:w="166"/>
        <w:gridCol w:w="496"/>
        <w:gridCol w:w="151"/>
        <w:gridCol w:w="166"/>
        <w:gridCol w:w="496"/>
        <w:gridCol w:w="146"/>
        <w:gridCol w:w="769"/>
      </w:tblGrid>
      <w:tr>
        <w:trPr/>
        <w:tc>
          <w:tcPr>
            <w:tcW w:w="2055"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2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PMA Parent Holdings LLC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 Markets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8.48%</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PMA Parent Holdings LLC (Revolver)</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 Markets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01/31/31</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Pomeroy Technologies, LLC (Super Senior A)</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6.00% PIK</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Premier Imaging, LLC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9.99%</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(13)(27)</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Project Castle, Inc.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Machinery</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9.19%</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Project Leopard Holdings, Inc.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9.01%</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+ 5.25%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PVHC Holding Corp</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Containers &amp; Packaging</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13.13%</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+ 9.25%, 2.75%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Radius Aerospace, Inc.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9.63%</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Red Range Intermediate Inc.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 Conglomerates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11.76%</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+ 8.00%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Resolute Investment Managers, Inc.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 Markets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10.49%</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+ 6.50%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Revolt Media and TV, LLC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11.65%</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+ 8.00%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RN Enterprises, LLC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7.11%</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+ 5.25%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Shepherd Parent Holdings, LLC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10.93%</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Shepherd Parent Holdings, LLC (Revolver)</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07/10/30</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9.00%</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Spark Buyer, LLC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Electrical Equipment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8.89%</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+ 5.25%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Spinrite, Inc.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10.90%</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Spinrite, Inc. (Revolver)</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10.91%</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(3)(7)(20)</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Distribution, LLC (STG Logistics) (Second Out)</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Infrastructure</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Distribution, LLC (STG Logistics) (Third Out)</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Infrastructure</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TA/WEG Holdings, LLC (Revolver)</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+ 6.25%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10/02/28</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Tactical Air Support, Inc.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12.32%</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+ 8.50%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9.98%</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+ 6.25%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 (Revolver)</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9.94%</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+ 6.25%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(3)(7)(13)(20)</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USA Holdings Inc.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9.98%</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+ 6.25%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Validity, Inc.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8.68%</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+ 5.00%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9.64%</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 (Revolver)</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9.63%</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VTX Intermediate Holdings, Inc.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10.92%</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+ 7.00%, 1.00%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286,229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- 19.0%</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14.50% PIK</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Broadline Retail</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Confluence Technologies, Inc.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+ 6.50%, 6.50%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Dcert Buyer, Inc.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10.64%</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+ 7.00%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Second Lien, Term Loan A</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8.99%</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+ 5.00%, 2.00%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Second Lien, Term Loan B</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8.73%</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+ 5.00%, 2.00%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11.18%</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Project Leopard Holdings, Inc.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11.41%</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+ 7.75%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VTX Intermediate Holdings, Inc.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 PIK</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 - 13.7%</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DeltaDx Limited, LP (Money Transfer Acquisition Inc.)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15.00% PIK</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Eastport Holdings, LLC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12.42%</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+ 8.50%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Holdings LLC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Hotels, Restaurants &amp; Leisure</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Tubular Textile Machinery, Inc.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Machinery</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5.00% PIK</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- 0.0%</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Catamaran CLO 2014-1 Ltd.</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Catamaran CLO 2018-1 Ltd</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Dryden 30 Senior Loan Fund</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- 5.0%</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4L Ultimate Topco Corporation</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AAPC Holdings, LLC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Aperture Dodge 18 LLC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5,190,939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BMP Slappey Holdco, LLC</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Telecommunication Services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BMP Slappey Investment II</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Telecommunication Services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Epilog Partners SPV III, LLC (Care Connectors Medical Group)</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(20)(22)</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West Spirits, LLC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Beverages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988,004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(25)</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Prosper Marketplace</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Taylor Precision Products, Inc. - Series C</w:t>
            </w:r>
          </w:p>
        </w:tc>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June 30, 2026</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361"/>
        <w:gridCol w:w="1831"/>
        <w:gridCol w:w="763"/>
        <w:gridCol w:w="905"/>
        <w:gridCol w:w="482"/>
        <w:gridCol w:w="586"/>
        <w:gridCol w:w="167"/>
        <w:gridCol w:w="673"/>
        <w:gridCol w:w="146"/>
        <w:gridCol w:w="166"/>
        <w:gridCol w:w="496"/>
        <w:gridCol w:w="151"/>
        <w:gridCol w:w="166"/>
        <w:gridCol w:w="496"/>
        <w:gridCol w:w="151"/>
        <w:gridCol w:w="665"/>
      </w:tblGrid>
      <w:tr>
        <w:trPr/>
        <w:tc>
          <w:tcPr>
            <w:tcW w:w="236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 (Class A Preferred)</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14.00%</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14.00%, 10.50% PIK</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1,026,753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(22)(25)</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- 7.9%</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AAPC Holdings, LLC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Advantage Capital Holdings LLC - Class A Units</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AIP Capital, LLC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 Class A Warrant</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 Class B Warrant</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 Warrant for CS</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ATP Oil &amp; Gas Corporation</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Gas &amp; Consumable Fuels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BGPT Maverick, L.P. (Metrc Inc.)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Communications Equipment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 - Class A</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Broadline Retail</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Carestream Health Holdings, Inc.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L.P.</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DxTx Pain and Spine LLC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Everyware Global, Inc.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FP WRCA Coinvestment Fund VII, Ltd. - Class A</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Freedom Electronics, LLC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Fusion Connect, Inc.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Wireless Telecommunication Services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Fusion Connect, Inc. - Warrant</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Wireless Telecommunication Services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811,572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Fusion Parent, LLC (fka Franchise Group Inc.)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HDC/HW Holdings, LLC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KT Equity Holdings, LLC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LB NewHoldCo LLC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Hotels, Restaurants &amp; Leisure</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West Spirits, LLC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Beverages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Holdings Inc. - Warrant</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Ohene Holdings B.V. - Warrant</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Payarc LLC - Warrant</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Revolt Media and TV, LLC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Roscoe Investors, LLC - Class A</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 - Warrant</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Swift Aggregator LLC (formerly GA Communications, Inc.)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1,363,451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VTX Holdings LLC - Series 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Workplace Holdings LLC (Pomeroy Technologies, LLC)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World Business Lenders, LLC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Derivatives - 0.1%</w:t>
            </w:r>
            <w:r>
              <w:rPr>
                <w:rFonts w:ascii="Times New Roman" w:hAnsi="Times New Roman"/>
                <w:b/>
                <w:color w:val="000000"/>
                <w:sz w:val="8"/>
              </w:rPr>
              <w:t>(19)</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Advantage Capital Holdings LLC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(7)(22)</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Epilog Partners LP (Care Connectors Medical Group)</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(7)(22)</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HDNet Holdco LLC (Anthem)</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Derivatives</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 Non-Affiliate Portfolio Companies</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381,680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346,365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Investments in Affiliate Portfolio Companies - 55.3%</w:t>
            </w:r>
            <w:r>
              <w:rPr>
                <w:rFonts w:ascii="Times New Roman" w:hAnsi="Times New Roman"/>
                <w:b/>
                <w:color w:val="000000"/>
                <w:sz w:val="8"/>
              </w:rPr>
              <w:t>(17)</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- 12.8%</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02/05/33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 (Revolver)</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02/05/33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HR Pharmaceuticals, LLC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9.65%</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01/29/31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HR Pharmaceuticals, LLC (Revolver)</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9.69%</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01/29/31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PMP OPCO, LLC (Princeton Medspa Partners, LLC)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12.14%</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PMP OPCO, LLC (Princeton Medspa Partners, LLC) (Revolver)</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05/31/29</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Inc.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8.64%</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05/14/31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Debt- 2.2%</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8.00%</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04/05/28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8.00%</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04/05/28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- 8.7%</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IV LTD</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V LTD</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JNTR 2026-1 LLC CLO – Class A-0</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8.00%</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12/31/49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JNTR 2026-1 LLC CLO – Class A-1</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4.50%</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JNTR 2026-1 LLC CLO – Class A-2</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4.50%</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12/31/49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JNTR 2026-1 LLC CLO – Class A-3</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4.50%</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JNTR 2026-1 LLC CLO – Subordinated A</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15.10%</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12/31/49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(7)(10)</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JNTR 2026-1 LLC CLO – Subordinated B</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25.90%</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(7)(10)</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June 30, 2026</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633"/>
        <w:gridCol w:w="1437"/>
        <w:gridCol w:w="825"/>
        <w:gridCol w:w="863"/>
        <w:gridCol w:w="506"/>
        <w:gridCol w:w="586"/>
        <w:gridCol w:w="164"/>
        <w:gridCol w:w="726"/>
        <w:gridCol w:w="146"/>
        <w:gridCol w:w="166"/>
        <w:gridCol w:w="496"/>
        <w:gridCol w:w="146"/>
        <w:gridCol w:w="166"/>
        <w:gridCol w:w="496"/>
        <w:gridCol w:w="146"/>
        <w:gridCol w:w="703"/>
      </w:tblGrid>
      <w:tr>
        <w:trPr/>
        <w:tc>
          <w:tcPr>
            <w:tcW w:w="26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2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0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Ventures- 21.1%</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Series B - Great Lakes Funding II LLC</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(7)(20)(26)</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- 4.3%</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 - Class A</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21,579,483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A</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HR Pharmaceuticals, LLC</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14.00% PIK</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(22)(25)</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 - Class O Preferred</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 - Preferred</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Phoenix Aviation Capital, LLC</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7.00% PIK</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1,305,594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(22)(25)</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Princeton Medspa Partners, LLC</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 PIK</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(22)(25)</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Sports Enterprises LLC</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Westshore RAM, LLC - Class A</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(25)</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- 6.2%</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A</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B</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M-1</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Phoenix Aviation Capital, LLC</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Princeton Medspa Partners, LLC - Warrant</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Sports Enterprises LLC</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Energy Equipment &amp; Services</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Derivatives - 0.0%</w:t>
            </w:r>
            <w:r>
              <w:rPr>
                <w:rFonts w:ascii="Times New Roman" w:hAnsi="Times New Roman"/>
                <w:b/>
                <w:color w:val="000000"/>
                <w:sz w:val="8"/>
              </w:rPr>
              <w:t>(19)</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Princeton Medspa Partners, LLC</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(7)(22)</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Derivatives</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Affiliate Portfolio Companies</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Investments in Controlled Affiliated Portfolio Companies - 3.9%</w:t>
            </w:r>
            <w:r>
              <w:rPr>
                <w:rFonts w:ascii="Times New Roman" w:hAnsi="Times New Roman"/>
                <w:b/>
                <w:color w:val="000000"/>
                <w:sz w:val="8"/>
              </w:rPr>
              <w:t>(8)</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- 3.9%</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KCAP Freedom 3 LLC</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Asset Manager Affiliates - 0.0%</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Management Company</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Management Company</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Asset Manager Affiliates</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Controlled Affiliated Portfolio Companies</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- 252.3%</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536,977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452,741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jc w:val="both"/>
        <w:rPr/>
      </w:pPr>
      <w:r>
        <w:rPr/>
        <w:t> </w:t>
      </w:r>
    </w:p>
    <w:p>
      <w:pPr>
        <w:pStyle w:val="TextBody"/>
        <w:pBdr>
          <w:bottom w:val="single" w:sz="8"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pPr>
      <w:r>
        <w:rPr>
          <w:rFonts w:ascii="Times New Roman" w:hAnsi="Times New Roman"/>
          <w:color w:val="000000"/>
          <w:sz w:val="14"/>
        </w:rPr>
        <w:t>A majority of the variable rate loans in the Company’s investment portfolio bear interest at a rate that may be determined by reference to either the Secured Overnight Financing Rate (“SOFR”) or an alternate Base Rate (commonly based on the Federal Funds Rate or the Prime Rate (“P”)), which typically resets semi-annually, quarterly, or monthly at the borrower’s option. The Borrower may also elect to have multiple interest reset periods for each June 30, 2026 loan. SOFR loans are typically indexed to 12 month, 6 month, 3 month, 2 month or 1 month SOFR rates. As of June 30, 2026, rates for the 6 month, 3 month and 1 month SOFR are 3.85%, 3.73%, and 3.65%, respectively. For each such loan, the Company has provided the weighted average annual stated interest rate in effect as of June 30, 2026. As noted in the table above, 93.4%</w:t>
      </w:r>
      <w:r>
        <w:rPr>
          <w:color w:val="000000"/>
        </w:rPr>
        <w:t xml:space="preserve"> </w:t>
      </w:r>
      <w:r>
        <w:rPr>
          <w:rFonts w:ascii="Times New Roman" w:hAnsi="Times New Roman"/>
          <w:color w:val="000000"/>
          <w:sz w:val="14"/>
        </w:rPr>
        <w:t>(based on par) of debt securities with floating rates contain floors which range between 0.50%</w:t>
      </w:r>
      <w:r>
        <w:rPr>
          <w:color w:val="000000"/>
        </w:rPr>
        <w:t xml:space="preserve"> </w:t>
      </w:r>
      <w:r>
        <w:rPr>
          <w:rFonts w:ascii="Times New Roman" w:hAnsi="Times New Roman"/>
          <w:color w:val="000000"/>
          <w:sz w:val="14"/>
        </w:rPr>
        <w:t>and 5.25%.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pPr>
      <w:r>
        <w:rPr>
          <w:rFonts w:ascii="Times New Roman" w:hAnsi="Times New Roman"/>
          <w:color w:val="000000"/>
          <w:sz w:val="14"/>
        </w:rPr>
        <w:t>Reflects the fair market value of all investments as of June 30, 2026</w:t>
      </w:r>
      <w:r>
        <w:rPr>
          <w:color w:val="000000"/>
        </w:rPr>
        <w:t xml:space="preserve"> </w:t>
      </w:r>
      <w:r>
        <w:rPr>
          <w:rFonts w:ascii="Times New Roman" w:hAnsi="Times New Roman"/>
          <w:color w:val="000000"/>
          <w:sz w:val="14"/>
        </w:rPr>
        <w:t>as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Non-U.S. company or principal place of business outside the U.S.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pPr>
      <w:r>
        <w:rPr>
          <w:rFonts w:ascii="Times New Roman" w:hAnsi="Times New Roman"/>
          <w:color w:val="000000"/>
          <w:sz w:val="14"/>
        </w:rPr>
        <w:t>The aggregate cost of investments for federal income tax purposes is approximately $552.1</w:t>
      </w:r>
      <w:r>
        <w:rPr>
          <w:color w:val="000000"/>
        </w:rPr>
        <w:t xml:space="preserve"> </w:t>
      </w:r>
      <w:r>
        <w:rPr>
          <w:rFonts w:ascii="Times New Roman" w:hAnsi="Times New Roman"/>
          <w:color w:val="000000"/>
          <w:sz w:val="14"/>
        </w:rPr>
        <w:t>million. The aggregate gross unrealized appreciation is approximately $63.7</w:t>
      </w:r>
      <w:r>
        <w:rPr>
          <w:color w:val="000000"/>
        </w:rPr>
        <w:t xml:space="preserve"> </w:t>
      </w:r>
      <w:r>
        <w:rPr>
          <w:rFonts w:ascii="Times New Roman" w:hAnsi="Times New Roman"/>
          <w:color w:val="000000"/>
          <w:sz w:val="14"/>
        </w:rPr>
        <w:t>million, the aggregate gross unrealized depreciation is approximately $163.1</w:t>
      </w:r>
      <w:r>
        <w:rPr>
          <w:color w:val="000000"/>
        </w:rPr>
        <w:t xml:space="preserve"> </w:t>
      </w:r>
      <w:r>
        <w:rPr>
          <w:rFonts w:ascii="Times New Roman" w:hAnsi="Times New Roman"/>
          <w:color w:val="000000"/>
          <w:sz w:val="14"/>
        </w:rPr>
        <w:t>million, and the net unrealized depreciation is approximately $99.4</w:t>
      </w:r>
      <w:r>
        <w:rPr>
          <w:color w:val="000000"/>
        </w:rPr>
        <w:t xml:space="preserve"> </w:t>
      </w:r>
      <w:r>
        <w:rPr>
          <w:rFonts w:ascii="Times New Roman" w:hAnsi="Times New Roman"/>
          <w:color w:val="000000"/>
          <w:sz w:val="14"/>
        </w:rPr>
        <w:t>million.</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 xml:space="preserve">Loan or debt security is on non-accrual status and therefore is considered non-income producing. Beginning during the quarter ended June 30, 2025, the Company recognized interest income to the extent that it is received in cash on its loans to Colonnade Intermediate, LLC.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Held through Garrison Capital Equity Holdings II LLC and net of non-controlling member’s interest of 17.5% pursuant to the Amended and Restated Limited Liability Company Agreement of Garrison Capital Equity Holdings II LLC.</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(7)</w:t>
      </w:r>
    </w:p>
    <w:p>
      <w:pPr>
        <w:pStyle w:val="TextBody"/>
        <w:bidi w:val="0"/>
        <w:spacing w:before="120" w:after="283"/>
        <w:jc w:val="both"/>
        <w:rPr/>
      </w:pPr>
      <w:r>
        <w:rPr>
          <w:rFonts w:ascii="Times New Roman" w:hAnsi="Times New Roman"/>
          <w:color w:val="000000"/>
          <w:sz w:val="14"/>
        </w:rPr>
        <w:t>The investment is treated as a non-qualifying asset under Section 55(a) of the 1940 Act. Under the 1940 Act, we may not acquire any non-qualifying asset unless, at the time the acquisition is made, qualifying assets represent at least 70% of our total assets. As of June 30, 2026, qualifying assets represent 85.6%</w:t>
      </w:r>
      <w:r>
        <w:rPr>
          <w:color w:val="000000"/>
        </w:rPr>
        <w:t xml:space="preserve"> </w:t>
      </w:r>
      <w:r>
        <w:rPr>
          <w:rFonts w:ascii="Times New Roman" w:hAnsi="Times New Roman"/>
          <w:color w:val="000000"/>
          <w:sz w:val="14"/>
        </w:rPr>
        <w:t>of the Company's total assets and non-qualifying assets represent 14.4%</w:t>
      </w:r>
      <w:r>
        <w:rPr>
          <w:color w:val="000000"/>
        </w:rPr>
        <w:t xml:space="preserve"> </w:t>
      </w:r>
      <w:r>
        <w:rPr>
          <w:rFonts w:ascii="Times New Roman" w:hAnsi="Times New Roman"/>
          <w:color w:val="000000"/>
          <w:sz w:val="14"/>
        </w:rPr>
        <w:t>of the Company's total assets.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(8)</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(9)</w:t>
      </w:r>
    </w:p>
    <w:p>
      <w:pPr>
        <w:pStyle w:val="TextBody"/>
        <w:bidi w:val="0"/>
        <w:spacing w:before="120" w:after="283"/>
        <w:jc w:val="both"/>
        <w:rPr/>
      </w:pPr>
      <w:r>
        <w:rPr>
          <w:rFonts w:ascii="Times New Roman" w:hAnsi="Times New Roman"/>
          <w:color w:val="000000"/>
          <w:sz w:val="14"/>
        </w:rPr>
        <w:t>This investment is held by CPTA Master Blocker Inc., one of the Company</w:t>
      </w:r>
      <w:r>
        <w:rPr>
          <w:color w:val="000000"/>
        </w:rPr>
        <w:t>’</w:t>
      </w:r>
      <w:r>
        <w:rPr>
          <w:rFonts w:ascii="Times New Roman" w:hAnsi="Times New Roman"/>
          <w:color w:val="000000"/>
          <w:sz w:val="14"/>
        </w:rPr>
        <w:t>s taxable blocker subsidiaries.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(10)</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CLO Fund Securities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receives a 5% royalty interest on oil being produced on certain fields. All production payments received are being applied to the cost basis and are considered return of capital.</w:t>
      </w:r>
    </w:p>
    <w:p>
      <w:pPr>
        <w:pStyle w:val="TextBody"/>
        <w:bidi w:val="0"/>
        <w:jc w:val="both"/>
        <w:rPr/>
      </w:pPr>
      <w:r>
        <w:rPr/>
        <w:t>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June 30, 2026</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All investments valued using unobservable inputs (Level III), unless otherwise noted.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(13)</w:t>
      </w:r>
    </w:p>
    <w:p>
      <w:pPr>
        <w:pStyle w:val="TextBody"/>
        <w:bidi w:val="0"/>
        <w:spacing w:before="120" w:after="283"/>
        <w:jc w:val="both"/>
        <w:rPr/>
      </w:pPr>
      <w:r>
        <w:rPr>
          <w:rFonts w:ascii="Times New Roman" w:hAnsi="Times New Roman"/>
          <w:color w:val="000000"/>
          <w:sz w:val="14"/>
        </w:rPr>
        <w:t>As of June 30, 2026, all or a portion of this investment is pledged to secure the Company’s debt obligations. The fair value of assets pledged as collateral on the Revolving Credit Facility and the KeyBank Credit Facility as of June 30, 2026 was $149.0</w:t>
      </w:r>
      <w:r>
        <w:rPr>
          <w:color w:val="000000"/>
        </w:rPr>
        <w:t xml:space="preserve"> </w:t>
      </w:r>
      <w:r>
        <w:rPr>
          <w:rFonts w:ascii="Times New Roman" w:hAnsi="Times New Roman"/>
          <w:color w:val="000000"/>
          <w:sz w:val="14"/>
        </w:rPr>
        <w:t>million</w:t>
      </w:r>
      <w:r>
        <w:rPr>
          <w:color w:val="000000"/>
        </w:rPr>
        <w:t xml:space="preserve"> </w:t>
      </w:r>
      <w:r>
        <w:rPr>
          <w:rFonts w:ascii="Times New Roman" w:hAnsi="Times New Roman"/>
          <w:color w:val="000000"/>
          <w:sz w:val="14"/>
        </w:rPr>
        <w:t>and $124.5</w:t>
      </w:r>
      <w:r>
        <w:rPr>
          <w:color w:val="000000"/>
        </w:rPr>
        <w:t xml:space="preserve"> </w:t>
      </w:r>
      <w:r>
        <w:rPr>
          <w:rFonts w:ascii="Times New Roman" w:hAnsi="Times New Roman"/>
          <w:color w:val="000000"/>
          <w:sz w:val="14"/>
        </w:rPr>
        <w:t>million, respectively.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(14)</w:t>
      </w:r>
    </w:p>
    <w:p>
      <w:pPr>
        <w:pStyle w:val="TextBody"/>
        <w:bidi w:val="0"/>
        <w:spacing w:before="120" w:after="283"/>
        <w:jc w:val="both"/>
        <w:rPr/>
      </w:pPr>
      <w:r>
        <w:rPr>
          <w:rFonts w:ascii="Times New Roman" w:hAnsi="Times New Roman"/>
          <w:color w:val="000000"/>
          <w:sz w:val="14"/>
        </w:rPr>
        <w:t>The Company’s</w:t>
      </w:r>
      <w:r>
        <w:rPr>
          <w:color w:val="000000"/>
        </w:rPr>
        <w:t xml:space="preserve"> </w:t>
      </w:r>
      <w:r>
        <w:rPr>
          <w:rFonts w:ascii="Times New Roman" w:hAnsi="Times New Roman"/>
          <w:color w:val="000000"/>
          <w:sz w:val="14"/>
        </w:rPr>
        <w:t>investments are generally acquired in private transactions exempt from registration under the Securities Act of 1933, as amended (the “Securities Act”) and, therefore, are generally subject to limitations on resale, and may be deemed to be “restricted securities” under the Securities Act.</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negative cost is the result of the capitalized discount being greater than the principal amount outstanding on the loan.</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(16)</w:t>
      </w:r>
    </w:p>
    <w:p>
      <w:pPr>
        <w:pStyle w:val="TextBody"/>
        <w:bidi w:val="0"/>
        <w:spacing w:before="120" w:after="283"/>
        <w:jc w:val="both"/>
        <w:rPr/>
      </w:pPr>
      <w:r>
        <w:rPr>
          <w:rFonts w:ascii="Times New Roman" w:hAnsi="Times New Roman"/>
          <w:color w:val="000000"/>
          <w:sz w:val="14"/>
        </w:rPr>
        <w:t>This investment is held by the</w:t>
      </w:r>
      <w:r>
        <w:rPr>
          <w:color w:val="000000"/>
        </w:rPr>
        <w:t xml:space="preserve"> </w:t>
      </w:r>
      <w:r>
        <w:rPr>
          <w:rFonts w:ascii="Times New Roman" w:hAnsi="Times New Roman"/>
          <w:color w:val="000000"/>
          <w:sz w:val="14"/>
        </w:rPr>
        <w:t>Company’s wholly-owned subsidiary Garrison Capital Equity Holdings XI LLC.</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(17)</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 xml:space="preserve">Under the 1940 Act, the Company is deemed to be an “Affiliated Person” of, as defined in the 1940 Act, this portfolio company as the Company owns at least 5% of the portfolio company’s outstanding voting securities or is under common control with such portfolio company.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(18)</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Not used.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(19)</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Information related to the Company’s derivatives is presented below as of June 30, 2026:</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061"/>
        <w:gridCol w:w="146"/>
        <w:gridCol w:w="2964"/>
        <w:gridCol w:w="146"/>
        <w:gridCol w:w="195"/>
        <w:gridCol w:w="923"/>
        <w:gridCol w:w="146"/>
        <w:gridCol w:w="146"/>
        <w:gridCol w:w="315"/>
        <w:gridCol w:w="760"/>
        <w:gridCol w:w="146"/>
        <w:gridCol w:w="146"/>
        <w:gridCol w:w="264"/>
        <w:gridCol w:w="657"/>
        <w:gridCol w:w="146"/>
        <w:gridCol w:w="146"/>
        <w:gridCol w:w="1030"/>
        <w:gridCol w:w="146"/>
        <w:gridCol w:w="181"/>
        <w:gridCol w:w="346"/>
        <w:gridCol w:w="195"/>
      </w:tblGrid>
      <w:tr>
        <w:trP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Call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HDNet Holdco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Put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Advantage Capital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Put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Epilog Partners LP (Care Connectors Medical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Put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Princeton Medspa Partners,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4"/>
        </w:rPr>
      </w:pPr>
      <w:r>
        <w:rPr>
          <w:rFonts w:ascii="Times New Roman" w:hAnsi="Times New Roman"/>
          <w:color w:val="000000"/>
          <w:sz w:val="14"/>
        </w:rPr>
        <w:t>(20)</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 xml:space="preserve">Debt security has an unfunded commitment in addition to the amounts shown in the consolidated schedule of investments. See Note 8 — “Commitments and Contingencies” for additional information on the Company’s commitments and contingencies.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(21)</w:t>
      </w:r>
    </w:p>
    <w:p>
      <w:pPr>
        <w:pStyle w:val="TextBody"/>
        <w:bidi w:val="0"/>
        <w:spacing w:before="120" w:after="283"/>
        <w:jc w:val="both"/>
        <w:rPr/>
      </w:pPr>
      <w:r>
        <w:rPr>
          <w:rFonts w:ascii="Times New Roman" w:hAnsi="Times New Roman"/>
          <w:color w:val="000000"/>
          <w:sz w:val="14"/>
        </w:rPr>
        <w:t>This investment is owned by HCAP Equity Holdings, LLC, one of the Company’s taxable blocker subsidiaries.</w:t>
      </w:r>
      <w:r>
        <w:rPr>
          <w:color w:val="000000"/>
        </w:rPr>
        <w:t xml:space="preserve">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is owned by PTMN Sub Holdings LLC, one of the Company’s taxable blocker subsidiaries.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All debt investments are income producing, unless otherwise noted. Equity and warrant investments are non-income producing, unless otherwise noted.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Percentages are based on net assets as of June 30, 2026.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equity investment is income producing.</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investment is held at the net asset value (“NAV”) of the underlying fund.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(27)</w:t>
      </w:r>
    </w:p>
    <w:p>
      <w:pPr>
        <w:pStyle w:val="TextBody"/>
        <w:bidi w:val="0"/>
        <w:spacing w:before="120" w:after="283"/>
        <w:jc w:val="both"/>
        <w:rPr/>
      </w:pPr>
      <w:r>
        <w:rPr>
          <w:rFonts w:ascii="Times New Roman" w:hAnsi="Times New Roman"/>
          <w:color w:val="000000"/>
          <w:sz w:val="14"/>
        </w:rPr>
        <w:t>Interest is payable in cash or, at the borrower's election, may be paid in kind (</w:t>
      </w:r>
      <w:r>
        <w:rPr>
          <w:color w:val="000000"/>
        </w:rPr>
        <w:t>“</w:t>
      </w:r>
      <w:r>
        <w:rPr>
          <w:rFonts w:ascii="Times New Roman" w:hAnsi="Times New Roman"/>
          <w:color w:val="000000"/>
          <w:sz w:val="14"/>
        </w:rPr>
        <w:t>PIK”).</w:t>
      </w:r>
    </w:p>
    <w:p>
      <w:pPr>
        <w:pStyle w:val="TextBody"/>
        <w:bidi w:val="0"/>
        <w:spacing w:before="120" w:after="283"/>
        <w:jc w:val="both"/>
        <w:rPr>
          <w:rFonts w:ascii="Times New Roman" w:hAnsi="Times New Roman"/>
          <w:sz w:val="16"/>
        </w:rPr>
      </w:pPr>
      <w:r>
        <w:rPr>
          <w:rFonts w:ascii="Times New Roman" w:hAnsi="Times New Roman"/>
          <w:color w:val="000000"/>
          <w:sz w:val="14"/>
        </w:rPr>
        <w:t>(++) Par amount is presented for debt investments, while the number of shares or units owned is presented for equity investments.</w:t>
      </w:r>
      <w:r>
        <w:rPr>
          <w:rFonts w:ascii="Times New Roman" w:hAnsi="Times New Roman"/>
          <w:color w:val="000000"/>
          <w:sz w:val="16"/>
        </w:rPr>
        <w:t xml:space="preserve">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As of December 31, 2025</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46"/>
        <w:gridCol w:w="1559"/>
        <w:gridCol w:w="753"/>
        <w:gridCol w:w="1179"/>
        <w:gridCol w:w="479"/>
        <w:gridCol w:w="586"/>
        <w:gridCol w:w="190"/>
        <w:gridCol w:w="569"/>
        <w:gridCol w:w="146"/>
        <w:gridCol w:w="166"/>
        <w:gridCol w:w="436"/>
        <w:gridCol w:w="151"/>
        <w:gridCol w:w="173"/>
        <w:gridCol w:w="456"/>
        <w:gridCol w:w="151"/>
        <w:gridCol w:w="665"/>
      </w:tblGrid>
      <w:tr>
        <w:trPr/>
        <w:tc>
          <w:tcPr>
            <w:tcW w:w="254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 (27)</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1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Non-Control, Non-Affiliate Portfolio Companies - 195.9%</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- 154.6%</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Accurate Background, LLC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9.93%</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03/26/29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Advantage Capital Holdings LLC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13.00%</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13.00%, 5.00%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04/14/27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AIDC IntermediateCo 2, LLC (Peak Technologies)</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8.97%</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07/22/27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AMCP Pet Holdings, Inc.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 Distribution &amp; Retail</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10.99%</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 3.00%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01/04/28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AMCP Pet Holdings, Inc. (Revolver)</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 Distribution &amp; Retail</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11.00%</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 3.00%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01/04/28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13.73%</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+ 9.75%, 5.25%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Ancile Solutions, Inc.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13.97%</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+ 10.00%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06/11/26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(2025 Delayed Draw Term Loan)</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9.43%</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 9.43%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(Hollywood Suites Delayed Draw Term Loan)</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9.43%</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 9.43%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(Term Loan B)</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(Term Loan 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Appfire Technologies, LLC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8.42%</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03/09/28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9.42%</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 (Revolver)</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7.94%</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+ 4.25%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Parent Corp.</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9.57%</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Parent Corp. (Revolver)</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CB MIDCO, LLC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09/27/27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CCMG Buyer, LLC (Care Connectors Medical Group)</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8.47%</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CCMG Buyer, LLC (Care Connectors Medical Group) (Revolver)</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05/08/30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Inc.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9.39%</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08/06/29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Inc. (Term Loan A1)</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10.39%</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02/06/31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Inc. (Term Loan A2)</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12.89%</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+ 9.00%, 11.89%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02/06/31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Colonnade Intermediate, LLC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Colonnade Intermediate, LLC (Revolver)</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10.92%</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 4.25%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 (Revolver)</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10.92%</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+ 7.25%, 4.25%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Professional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10.25%</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 (Second Out)</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Professional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8.75%</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Epic Staffing Group</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Professional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9.73%</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First Lien, Term Loan A</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9.43%</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First Lien, Term Loan B</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9.43%</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First Lien, Term Loan 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9.43%</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Integrated Flooring Systems Inc.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12.99%</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+ 9.00%, 6.00% PIK</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Integrated Flooring Systems Inc. (Revolver)</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12.72%</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+ 9.00%, 6.00%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GP Midco, LLC (Beauty by Imagination)</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Personal Care Products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8.90%</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+ 5.00%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HDC/HW Intermediate Holdings, LLC - Term Loan A</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9.01%</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+ 3.50%, 2.50%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5.25%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06/21/26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HDC/HW Intermediate Holdings, LLC - Term Loan B</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06/21/26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Help Systems Holdings, Inc.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Technology Hardware, Storage &amp; Peripherals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9.97%</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05/19/29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IDC Infusion Services LLC</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10.37%</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07/07/28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8.64%</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+ 4.75%</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 - NewCo</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9.64%</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10.73%</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+ 6.75%, 0.50% PIK</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10/06/26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 (Revolver)</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10.75%</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+ 6.75%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10/06/26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Live Comfortably Inc.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Durables</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6.83%</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+ 3.00%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9.27%</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Metrc Inc.</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9.17%</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+ 5.50%</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09/30/31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December 31, 2025</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65"/>
        <w:gridCol w:w="1811"/>
        <w:gridCol w:w="789"/>
        <w:gridCol w:w="1103"/>
        <w:gridCol w:w="493"/>
        <w:gridCol w:w="586"/>
        <w:gridCol w:w="197"/>
        <w:gridCol w:w="590"/>
        <w:gridCol w:w="146"/>
        <w:gridCol w:w="166"/>
        <w:gridCol w:w="496"/>
        <w:gridCol w:w="151"/>
        <w:gridCol w:w="166"/>
        <w:gridCol w:w="496"/>
        <w:gridCol w:w="151"/>
        <w:gridCol w:w="699"/>
      </w:tblGrid>
      <w:tr>
        <w:trPr/>
        <w:tc>
          <w:tcPr>
            <w:tcW w:w="216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 (27)</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Metrc Inc.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West Spirits,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Beverages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10.11%</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04/23/30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West Spirits, LLC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Beverages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04/23/30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Money Transfer Acquisition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12.07%</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12/14/27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(Term Loan A)</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(Term Loan B)</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12.04%</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MSM Acquisitions,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9.82%</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12/09/26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Bidco US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Interactive Media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9.03%</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04/11/29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Bidco US Inc. (Term Loan A)</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Interactive Media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8.76%</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10/11/28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Netwrix Corporation</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8.32%</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+ 4.50%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06/09/29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Netwrix Corporation (Revolver)</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+ 4.50%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06/09/29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Newbury Franklin Industrials, LLC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Trading Companies &amp; Distributors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10.88%</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Ground Transportation</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10.08%</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04/29/27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Orthopaedic (ITC) Buyer, LLC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8.67%</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PMA Parent Holdings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 Markets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8.42%</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01/31/31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PMA Parent Holdings LLC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 Markets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PhyNet Dermatology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10.38%</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Pomeroy Technologies, LLC (Super Senior A)</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6.00% PIK</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Premier Imaging,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9.93%</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Project Castle,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Machinery</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9.36%</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Project Leopard Holdings,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9.19%</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07/20/29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PVHC Holding Corp</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Containers &amp; Packaging</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7.82%</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02/17/27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Radius Aerospace,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10.07%</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 0.25% PIK</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03/29/27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Red Range Intermediate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 Conglomerates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11.99%</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Resolute Investment Managers,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Capital Markets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10.43%</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RN Enterprises, LLC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9.03%</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10/17/31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Shepherd Parent Holdings,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11.18%</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07/10/30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Shepherd Parent Holdings, LLC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07/10/30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9.00%</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Spark Buyer, LLC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Electrical Equipment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9.13%</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Spinrite,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11.26%</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+ 7.50%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Spinrite, Inc.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+ 7.50%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Distribution, LLC (STG Logistics) (Second Out)</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Infrastructure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10/03/29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Distribution, LLC (STG Logistics) (Third Out)</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Infrastructure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10/03/29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Sundance Holdings Group,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Synamedia Americas Holdings,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Interactive Media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9.92%</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TA/WEG Holdings, LLC (Revolver)</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Tactical Air Support,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11.52%</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+ 7.50%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10.92%</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(7)(13)(20)</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USA Holdings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10.92%</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Validity,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9.18%</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04/12/32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10.49%</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 (Revolver)</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10.46%</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VTX Intermediate Holdings,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11.98%</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 1.00% PIK</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12/12/29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339,520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323,261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- 18.3%</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14.50% PIK</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Broadline Retail</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Confluence Technologies,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10.50%</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 6.50% PIK</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07/30/29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Dcert Buyer,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10.72%</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02/16/29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Second Lien, Term Loan A</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9.05%</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 2.00% PIK</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 Second Lien, Term Loan B</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Food Products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9.05%</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 2.00% PIK</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10/15/30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Idera,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10.75%</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02/04/29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11.40%</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06/01/29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Project Leopard Holdings, Inc.</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11.59%</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+ 7.75%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07/20/30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VTX Intermediate Holdings, Inc.</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 PIK</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12/12/30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jc w:val="center"/>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December 31, 2025</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98"/>
        <w:gridCol w:w="1926"/>
        <w:gridCol w:w="793"/>
        <w:gridCol w:w="880"/>
        <w:gridCol w:w="494"/>
        <w:gridCol w:w="586"/>
        <w:gridCol w:w="170"/>
        <w:gridCol w:w="684"/>
        <w:gridCol w:w="146"/>
        <w:gridCol w:w="166"/>
        <w:gridCol w:w="436"/>
        <w:gridCol w:w="146"/>
        <w:gridCol w:w="175"/>
        <w:gridCol w:w="460"/>
        <w:gridCol w:w="146"/>
        <w:gridCol w:w="699"/>
      </w:tblGrid>
      <w:tr>
        <w:trPr/>
        <w:tc>
          <w:tcPr>
            <w:tcW w:w="229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 (27)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 - 12.1%</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DeltaDx Limited, LP (Money Transfer Acquisition Inc.)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15.00% PIK</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Eastport Holdings,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12.55%</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+ 8.50%</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09/29/27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Holdings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Hotels, Restaurants &amp; Leisure</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Tubular Textile Machinery, Inc.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Machinery</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5.00%</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10/29/27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- 0.1%</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Catamaran CLO 2014-1 Ltd.</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04/20/30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Catamaran CLO 2018-1 Ltd</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10/27/31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Dryden 30 Senior Loan Fund</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- 4.0%</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4L Ultimate Topco Corporation</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AAPC Holdings,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18.00% PIK</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(9)(22)(25)</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Aperture Dodge 18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5,163,101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BMP Slappey Holdco,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Telecommunication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BMP Slappey Investment II</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Telecommunication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Epilog Partners SPV III, LLC (Care Connectors Medical Group)</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1,185,909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West Spirits,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Beverages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940,522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(25)</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Prosper Marketplace</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Taylor Precision Products, Inc. - Series 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- 6.7%</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AAPC Holdings,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Advantage Capital Holdings LLC - Class A Units</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AIP Capital,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 Class A Warrant</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 Class B Warrant</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Anthem Sports &amp; Entertainment Inc. - Warrant for CS</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ATP Oil &amp; Gas Corporation</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Gas &amp; Consumable Fuels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 - Class A</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Broadline Retail</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BGPT Maverick, L.P. (Metrc Inc.)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Communications Equipment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Carestream Health Holdings, Inc.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Centric Brands, L.P.</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Textiles, Apparel &amp; Luxury Goods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DxTx Pain and Spine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Everyware Global, Inc.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FP WRCA Coinvestment Fund VII, Ltd. - Class A</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Freedom Electronics,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Equipment, Instruments &amp; Components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Fusion Connect, Inc.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Wireless Telecommunication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Fusion Connect, Inc. - Warrant</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Wireless Telecommunication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811,572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Fusion Parent, LLC (fka Franchise Group Inc.)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HDC/HW Holdings,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LB NewHoldCo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Hotels, Restaurants &amp; Leisure</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Live Comfortably Inc.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Durables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West Spirits,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Beverages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Holdings Inc. - Warrant</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Ohene Holdings B.V. - Warrant</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Roscoe Investors, LLC - Class A</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 - Warrant</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Sundance Holdings Group,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Retail</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Swift Aggregator LLC (formerly GA Communications, Inc.)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1,363,451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VTX Holdings LLC - Series 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Workplace Holdings LLC (Pomeroy Technologies, LLC)</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World Business Lenders, LLC</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December 31, 2025</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68"/>
        <w:gridCol w:w="1328"/>
        <w:gridCol w:w="789"/>
        <w:gridCol w:w="1195"/>
        <w:gridCol w:w="492"/>
        <w:gridCol w:w="586"/>
        <w:gridCol w:w="161"/>
        <w:gridCol w:w="716"/>
        <w:gridCol w:w="146"/>
        <w:gridCol w:w="166"/>
        <w:gridCol w:w="496"/>
        <w:gridCol w:w="151"/>
        <w:gridCol w:w="166"/>
        <w:gridCol w:w="496"/>
        <w:gridCol w:w="151"/>
        <w:gridCol w:w="698"/>
      </w:tblGrid>
      <w:tr>
        <w:trPr/>
        <w:tc>
          <w:tcPr>
            <w:tcW w:w="246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(2), (4), (12), (14), (23), (24)</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 (27)</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(1)</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(1)</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(1)</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Derivatives - 0.1% </w:t>
            </w:r>
            <w:r>
              <w:rPr>
                <w:rFonts w:ascii="Times New Roman" w:hAnsi="Times New Roman"/>
                <w:b/>
                <w:color w:val="000000"/>
                <w:sz w:val="8"/>
              </w:rPr>
              <w:t>(19)</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Advantage Capital Holdings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(7)(22)</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Epilog Partners LP (Care Connectors Medical Group)</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(7)(20)(22)</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HDNet Holdco LLC (Anthem)</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Media</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Derivatives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 Non-Affiliate Portfolio Companies</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433,213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409,735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Affiliate Portfolio Companies - 38.5% </w:t>
            </w:r>
            <w:r>
              <w:rPr>
                <w:rFonts w:ascii="Times New Roman" w:hAnsi="Times New Roman"/>
                <w:b/>
                <w:color w:val="000000"/>
                <w:sz w:val="8"/>
              </w:rPr>
              <w:t>(17)</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- 10.0%</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10.82%</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+ 7.00%, 3.82% PIK</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PMP OPCO, LLC (Princeton Medspa Partners,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12.59%</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+ 8.50%</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05/31/29</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PMP OPCO, LLC (Princeton Medspa Partners, LLC) (Revolver)</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+ 8.50%</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(15)(20)</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Inc.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9.74%</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2"/>
              </w:rPr>
              <w:t>SOFR</w:t>
            </w:r>
            <w:r>
              <w:rPr>
                <w:rFonts w:ascii="Times New Roman" w:hAnsi="Times New Roman"/>
                <w:color w:val="000000"/>
                <w:sz w:val="16"/>
              </w:rPr>
              <w:t> </w:t>
            </w:r>
            <w:r>
              <w:rPr>
                <w:rFonts w:ascii="Times New Roman" w:hAnsi="Times New Roman"/>
                <w:color w:val="000000"/>
                <w:sz w:val="12"/>
              </w:rPr>
              <w:t>+ 6.00%</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03/29/29</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9,307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20,865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- 1.9%</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8.00%</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04/05/28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8.00%</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01/01/25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- 0.8%</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IV LTD</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07/17/29</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V LTD</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(3)(7)(10)</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- 17.9%</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Series B - Great Lakes Funding II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(7)(20)(26)</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- 3.8%</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 - Class A</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20,964,483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EBSC Holdings LLC (Riddell, Inc.)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(9)(25)</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A</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 - Preferred</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 - Class O Preferred</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Phoenix Aviation Capital,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1,281,657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(22)(25)</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Princeton Medspa Partners,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 PIK</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(22)(25)</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Westshore RAM, LLC - Class A</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(25)</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- 4.1%</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A</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B</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M-1</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Kleen-Tech Acquisition,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Phoenix Aviation Capital,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Princeton Medspa Partners, LLC - Warrant</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Energy Equipment &amp; Services</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8,664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Derivatives - 0.0%</w:t>
            </w:r>
            <w:r>
              <w:rPr>
                <w:rFonts w:ascii="Times New Roman" w:hAnsi="Times New Roman"/>
                <w:color w:val="000000"/>
                <w:sz w:val="12"/>
              </w:rPr>
              <w:t> </w:t>
            </w:r>
            <w:r>
              <w:rPr>
                <w:rFonts w:ascii="Times New Roman" w:hAnsi="Times New Roman"/>
                <w:b/>
                <w:color w:val="000000"/>
                <w:sz w:val="8"/>
              </w:rPr>
              <w:t>(19)</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Princeton Medspa Partners, LLC</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(7)(22)</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Derivatives</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Affiliate Portfolio Companies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90,294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Investments in Controlled Affiliated Portfolio Companies - 5.1%</w:t>
            </w:r>
            <w:r>
              <w:rPr>
                <w:rFonts w:ascii="Times New Roman" w:hAnsi="Times New Roman"/>
                <w:color w:val="000000"/>
                <w:sz w:val="12"/>
              </w:rPr>
              <w:t> </w:t>
            </w:r>
            <w:r>
              <w:rPr>
                <w:rFonts w:ascii="Times New Roman" w:hAnsi="Times New Roman"/>
                <w:b/>
                <w:color w:val="000000"/>
                <w:sz w:val="8"/>
              </w:rPr>
              <w:t>(8)</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- 5.1%</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KCAP Freedom 3 LLC</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Asset Manager Affiliates - 0.0%</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Management Company</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Management Company</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Asset Manager Affiliates</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Controlled Affiliated Portfolio Companies</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42,332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- 239.5%</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565,839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500,975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As of December 31, 2025</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pPr>
      <w:r>
        <w:rPr/>
        <w:t> </w:t>
      </w:r>
    </w:p>
    <w:p>
      <w:pPr>
        <w:pStyle w:val="TextBody"/>
        <w:pBdr>
          <w:bottom w:val="single" w:sz="4" w:space="1" w:color="000000"/>
        </w:pBdr>
        <w:bidi w:val="0"/>
        <w:jc w:val="both"/>
        <w:rPr/>
      </w:pPr>
      <w:r>
        <w:rPr/>
        <w:t> </w:t>
      </w:r>
    </w:p>
    <w:p>
      <w:pPr>
        <w:pStyle w:val="TextBody"/>
        <w:bidi w:val="0"/>
        <w:jc w:val="left"/>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pPr>
      <w:r>
        <w:rPr>
          <w:rFonts w:ascii="Times New Roman" w:hAnsi="Times New Roman"/>
          <w:color w:val="000000"/>
          <w:sz w:val="14"/>
        </w:rPr>
        <w:t>A majority of the variable rate loans in the Company’s investment portfolio bear interest at a rate that may be determined by reference to either SOFR or an alternate Base Rate (commonly based on the Federal Funds Rate or the Prime Rate), which typically resets semi-annually, quarterly, or monthly at the borrower’s option. The Borrower may also elect to have multiple interest reset periods for each December 31, 2025 loan. SOFR loans are typically indexed to 12 month, 6 month, 3 month, 2 month or 1 month SOFR rates. As of December 31, 2025, rates for the 6 month, 3 month and 1 month SOFR are 3.57%, 3.65%, and 3.69%, respectively. For each such loan, the Company has provided the weighted average annual stated interest rate in effect as of December 31, 2025. As noted in the table above, 89.5%</w:t>
      </w:r>
      <w:r>
        <w:rPr>
          <w:color w:val="000000"/>
        </w:rPr>
        <w:t xml:space="preserve"> </w:t>
      </w:r>
      <w:r>
        <w:rPr>
          <w:rFonts w:ascii="Times New Roman" w:hAnsi="Times New Roman"/>
          <w:color w:val="000000"/>
          <w:sz w:val="14"/>
        </w:rPr>
        <w:t>(based on par) of debt securities contain floors which range between 0.50%</w:t>
      </w:r>
      <w:r>
        <w:rPr>
          <w:color w:val="000000"/>
        </w:rPr>
        <w:t xml:space="preserve"> </w:t>
      </w:r>
      <w:r>
        <w:rPr>
          <w:rFonts w:ascii="Times New Roman" w:hAnsi="Times New Roman"/>
          <w:color w:val="000000"/>
          <w:sz w:val="14"/>
        </w:rPr>
        <w:t>and 5.25%.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pPr>
      <w:r>
        <w:rPr>
          <w:rFonts w:ascii="Times New Roman" w:hAnsi="Times New Roman"/>
          <w:color w:val="000000"/>
          <w:sz w:val="14"/>
        </w:rPr>
        <w:t>Reflects the fair market value of all investments as of December 31, 2025</w:t>
      </w:r>
      <w:r>
        <w:rPr>
          <w:color w:val="000000"/>
        </w:rPr>
        <w:t xml:space="preserve"> </w:t>
      </w:r>
      <w:r>
        <w:rPr>
          <w:rFonts w:ascii="Times New Roman" w:hAnsi="Times New Roman"/>
          <w:color w:val="000000"/>
          <w:sz w:val="14"/>
        </w:rPr>
        <w:t>as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Non-U.S. company or principal place of business outside the U.S.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pPr>
      <w:r>
        <w:rPr>
          <w:rFonts w:ascii="Times New Roman" w:hAnsi="Times New Roman"/>
          <w:color w:val="000000"/>
          <w:sz w:val="14"/>
        </w:rPr>
        <w:t>The aggregate cost of investments for federal income tax purposes is approximately $582.7</w:t>
      </w:r>
      <w:r>
        <w:rPr>
          <w:color w:val="000000"/>
        </w:rPr>
        <w:t xml:space="preserve"> </w:t>
      </w:r>
      <w:r>
        <w:rPr>
          <w:rFonts w:ascii="Times New Roman" w:hAnsi="Times New Roman"/>
          <w:color w:val="000000"/>
          <w:sz w:val="14"/>
        </w:rPr>
        <w:t>million. The aggregate gross unrealized appreciation is approximately $65.5</w:t>
      </w:r>
      <w:r>
        <w:rPr>
          <w:color w:val="000000"/>
        </w:rPr>
        <w:t xml:space="preserve"> </w:t>
      </w:r>
      <w:r>
        <w:rPr>
          <w:rFonts w:ascii="Times New Roman" w:hAnsi="Times New Roman"/>
          <w:color w:val="000000"/>
          <w:sz w:val="14"/>
        </w:rPr>
        <w:t>million, the aggregate gross unrealized depreciation is approximately $147.2</w:t>
      </w:r>
      <w:r>
        <w:rPr>
          <w:color w:val="000000"/>
        </w:rPr>
        <w:t xml:space="preserve"> </w:t>
      </w:r>
      <w:r>
        <w:rPr>
          <w:rFonts w:ascii="Times New Roman" w:hAnsi="Times New Roman"/>
          <w:color w:val="000000"/>
          <w:sz w:val="14"/>
        </w:rPr>
        <w:t>million, and the net unrealized depreciation is approximately $81.8</w:t>
      </w:r>
      <w:r>
        <w:rPr>
          <w:color w:val="000000"/>
        </w:rPr>
        <w:t xml:space="preserve"> </w:t>
      </w:r>
      <w:r>
        <w:rPr>
          <w:rFonts w:ascii="Times New Roman" w:hAnsi="Times New Roman"/>
          <w:color w:val="000000"/>
          <w:sz w:val="14"/>
        </w:rPr>
        <w:t>million.</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Loan or debt security is on non-accrual status and therefore is considered non-income producing. Beginning during the quarter ended June 30, 2025, the Company recognized interest income to the extent that it is received in cash on its loans to Colonnade Intermediate, LLC.</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Held through Garrison Capital Equity Holdings II LLC and net of non-controlling member’s interest of 17.5% pursuant to the Amended and Restated Limited Liability Company Agreement of Garrison Capital Equity Holdings II LLC.</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(7)</w:t>
      </w:r>
    </w:p>
    <w:p>
      <w:pPr>
        <w:pStyle w:val="TextBody"/>
        <w:bidi w:val="0"/>
        <w:spacing w:before="120" w:after="283"/>
        <w:jc w:val="both"/>
        <w:rPr/>
      </w:pPr>
      <w:r>
        <w:rPr>
          <w:rFonts w:ascii="Times New Roman" w:hAnsi="Times New Roman"/>
          <w:color w:val="000000"/>
          <w:sz w:val="14"/>
        </w:rPr>
        <w:t>The investment is treated as a non-qualifying asset under Section 55(a) of the 1940 Act. Under the 1940 Act, we may not acquire any non-qualifying asset unless, at the time the acquisition is made, qualifying assets represent at least 70% of our total assets. As of December 31, 2025, qualifying assets represent 89.7%</w:t>
      </w:r>
      <w:r>
        <w:rPr>
          <w:color w:val="000000"/>
        </w:rPr>
        <w:t xml:space="preserve"> </w:t>
      </w:r>
      <w:r>
        <w:rPr>
          <w:rFonts w:ascii="Times New Roman" w:hAnsi="Times New Roman"/>
          <w:color w:val="000000"/>
          <w:sz w:val="14"/>
        </w:rPr>
        <w:t>of the Company's total assets and non-qualifying assets represent 10.3%</w:t>
      </w:r>
      <w:r>
        <w:rPr>
          <w:color w:val="000000"/>
        </w:rPr>
        <w:t xml:space="preserve"> </w:t>
      </w:r>
      <w:r>
        <w:rPr>
          <w:rFonts w:ascii="Times New Roman" w:hAnsi="Times New Roman"/>
          <w:color w:val="000000"/>
          <w:sz w:val="14"/>
        </w:rPr>
        <w:t>of the Company's total assets.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(8)</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(9)</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is held by CPTA Master Blocker Inc., one of the Company’s taxable blocker subsidiaries.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(10)</w:t>
      </w:r>
    </w:p>
    <w:p>
      <w:pPr>
        <w:pStyle w:val="TextBody"/>
        <w:bidi w:val="0"/>
        <w:spacing w:before="120" w:after="283"/>
        <w:jc w:val="both"/>
        <w:rPr/>
      </w:pPr>
      <w:r>
        <w:rPr>
          <w:rFonts w:ascii="Times New Roman" w:hAnsi="Times New Roman"/>
          <w:color w:val="000000"/>
          <w:sz w:val="14"/>
        </w:rPr>
        <w:t>CLO Fund Securities</w:t>
      </w:r>
      <w:r>
        <w:rPr>
          <w:color w:val="000000"/>
        </w:rPr>
        <w:t xml:space="preserve"> </w:t>
      </w:r>
      <w:r>
        <w:rPr>
          <w:rFonts w:ascii="Times New Roman" w:hAnsi="Times New Roman"/>
          <w:color w:val="000000"/>
          <w:sz w:val="14"/>
        </w:rPr>
        <w:t>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receives a 5% royalty interest on oil being produced on certain fields. All production payments received are being applied to the cost basis and are considered return of capital.</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All investments valued using unobservable inputs (Level III), unless otherwise noted.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(13)</w:t>
      </w:r>
    </w:p>
    <w:p>
      <w:pPr>
        <w:pStyle w:val="TextBody"/>
        <w:bidi w:val="0"/>
        <w:spacing w:before="120" w:after="283"/>
        <w:jc w:val="both"/>
        <w:rPr/>
      </w:pPr>
      <w:r>
        <w:rPr>
          <w:rFonts w:ascii="Times New Roman" w:hAnsi="Times New Roman"/>
          <w:color w:val="000000"/>
          <w:sz w:val="14"/>
        </w:rPr>
        <w:t>As of December 31, 2025, all or a portion of this investment is pledged to secure the Company’s debt obligations. The fair value of assets pledged as collateral on the Revolving Credit Facility and the KeyBank Credit Facility as of December 31, 2025 was $218.8</w:t>
      </w:r>
      <w:r>
        <w:rPr>
          <w:color w:val="000000"/>
        </w:rPr>
        <w:t xml:space="preserve"> </w:t>
      </w:r>
      <w:r>
        <w:rPr>
          <w:rFonts w:ascii="Times New Roman" w:hAnsi="Times New Roman"/>
          <w:color w:val="000000"/>
          <w:sz w:val="14"/>
        </w:rPr>
        <w:t>million and $104.8</w:t>
      </w:r>
      <w:r>
        <w:rPr>
          <w:color w:val="000000"/>
        </w:rPr>
        <w:t xml:space="preserve"> </w:t>
      </w:r>
      <w:r>
        <w:rPr>
          <w:rFonts w:ascii="Times New Roman" w:hAnsi="Times New Roman"/>
          <w:color w:val="000000"/>
          <w:sz w:val="14"/>
        </w:rPr>
        <w:t>million, respectively.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negative cost is the result of the capitalized discount being greater than the principal amount outstanding on the loan.</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is held by the Company’s wholly-owned subsidiary Garrison Capital Equity Holdings XI LLC.</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(17)</w:t>
      </w:r>
    </w:p>
    <w:p>
      <w:pPr>
        <w:pStyle w:val="TextBody"/>
        <w:bidi w:val="0"/>
        <w:spacing w:before="120" w:after="283"/>
        <w:jc w:val="both"/>
        <w:rPr/>
      </w:pPr>
      <w:r>
        <w:rPr>
          <w:rFonts w:ascii="Times New Roman" w:hAnsi="Times New Roman"/>
          <w:color w:val="000000"/>
          <w:sz w:val="14"/>
        </w:rPr>
        <w:t>Under the 1940 Act, the Company is deemed to be an “Affiliated Person” of, as defined in the 1940 Act, this portfolio company as the Company owns at least 5% of the portfolio company’s outstanding voting securities or is under common control with such portfolio company.</w:t>
      </w:r>
      <w:r>
        <w:rPr>
          <w:color w:val="000000"/>
        </w:rPr>
        <w:t xml:space="preserve">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(18)</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 xml:space="preserve">Not used.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(19)</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Information related to the Company’s derivatives is presented below as of December 31, 2025:</w:t>
      </w:r>
    </w:p>
    <w:tbl>
      <w:tblPr>
        <w:tblW w:w="10205" w:type="dxa"/>
        <w:jc w:val="left"/>
        <w:tblInd w:w="0" w:type="dxa"/>
        <w:tblLayout w:type="fixed"/>
        <w:tblCellMar>
          <w:top w:w="28" w:type="dxa"/>
          <w:left w:w="28" w:type="dxa"/>
          <w:bottom w:w="28" w:type="dxa"/>
          <w:right w:w="28" w:type="dxa"/>
        </w:tblCellMar>
      </w:tblPr>
      <w:tblGrid>
        <w:gridCol w:w="912"/>
        <w:gridCol w:w="146"/>
        <w:gridCol w:w="3055"/>
        <w:gridCol w:w="146"/>
        <w:gridCol w:w="197"/>
        <w:gridCol w:w="933"/>
        <w:gridCol w:w="146"/>
        <w:gridCol w:w="146"/>
        <w:gridCol w:w="320"/>
        <w:gridCol w:w="774"/>
        <w:gridCol w:w="146"/>
        <w:gridCol w:w="146"/>
        <w:gridCol w:w="268"/>
        <w:gridCol w:w="667"/>
        <w:gridCol w:w="146"/>
        <w:gridCol w:w="146"/>
        <w:gridCol w:w="1042"/>
        <w:gridCol w:w="146"/>
        <w:gridCol w:w="181"/>
        <w:gridCol w:w="346"/>
        <w:gridCol w:w="196"/>
      </w:tblGrid>
      <w:tr>
        <w:trPr/>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Call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HDNet Holdco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Put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Advantage Capital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Put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Epilog Partners LP (Care Connectors Medical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Put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Princeton Medspa Partners,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4"/>
        </w:rPr>
      </w:pPr>
      <w:r>
        <w:rPr>
          <w:rFonts w:ascii="Times New Roman" w:hAnsi="Times New Roman"/>
          <w:color w:val="000000"/>
          <w:sz w:val="14"/>
        </w:rPr>
        <w:t>(20)</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Debt security has an unfunded commitment in addition to the amounts shown in the consolidated schedule of investments. See Note 8 — “Commitments and Contingencies” for additional information on the Company’s commitments and contingencies.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is owned by HCAP Equity Holdings, LLC, one of the Company’s taxable blocker subsidiaries.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This investment is owned by PTMN Sub Holdings LLC, one of the Company’s taxable blocker subsidiaries.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All debt investments are income producing, unless otherwise noted. Equity and warrant investments are non-income producing, unless otherwise noted.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Percentages are based on net assets as of December 31, 2025.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equity investment is income producing.</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investment is held at the net asset value (“NAV”) of the underlying fund.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(27)</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presentation of the consolidated schedule of investments for the year ended December 31, 2025 utilizes industry classifications aligned with Global Industry Classification Standard (“GICS”) Level 3.</w:t>
      </w:r>
    </w:p>
    <w:p>
      <w:pPr>
        <w:pStyle w:val="TextBody"/>
        <w:bidi w:val="0"/>
        <w:spacing w:before="120" w:after="283"/>
        <w:jc w:val="both"/>
        <w:rPr>
          <w:rFonts w:ascii="Times New Roman" w:hAnsi="Times New Roman"/>
          <w:sz w:val="16"/>
        </w:rPr>
      </w:pPr>
      <w:r>
        <w:rPr>
          <w:rFonts w:ascii="Times New Roman" w:hAnsi="Times New Roman"/>
          <w:color w:val="000000"/>
          <w:sz w:val="14"/>
        </w:rPr>
        <w:t>(++) Par amount is presented for debt investments, while the number of shares or units owned is presented for equity investments.</w:t>
      </w:r>
      <w:r>
        <w:rPr>
          <w:rFonts w:ascii="Times New Roman" w:hAnsi="Times New Roman"/>
          <w:color w:val="000000"/>
          <w:sz w:val="16"/>
        </w:rPr>
        <w:t xml:space="preserve">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FINANCIAL HIGHLIGHTS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both"/>
        <w:rPr/>
      </w:pPr>
      <w:bookmarkStart w:id="8" w:name="fihi"/>
      <w:bookmarkEnd w:id="8"/>
      <w:r>
        <w:rPr/>
        <w:t> </w:t>
      </w:r>
    </w:p>
    <w:tbl>
      <w:tblPr>
        <w:tblW w:w="9867" w:type="dxa"/>
        <w:jc w:val="left"/>
        <w:tblInd w:w="0" w:type="dxa"/>
        <w:tblLayout w:type="fixed"/>
        <w:tblCellMar>
          <w:top w:w="28" w:type="dxa"/>
          <w:left w:w="28" w:type="dxa"/>
          <w:bottom w:w="28" w:type="dxa"/>
          <w:right w:w="28" w:type="dxa"/>
        </w:tblCellMar>
      </w:tblPr>
      <w:tblGrid>
        <w:gridCol w:w="5976"/>
        <w:gridCol w:w="346"/>
        <w:gridCol w:w="201"/>
        <w:gridCol w:w="942"/>
        <w:gridCol w:w="309"/>
        <w:gridCol w:w="150"/>
        <w:gridCol w:w="201"/>
        <w:gridCol w:w="850"/>
        <w:gridCol w:w="301"/>
        <w:gridCol w:w="591"/>
      </w:tblGrid>
      <w:tr>
        <w:trPr/>
        <w:tc>
          <w:tcPr>
            <w:tcW w:w="59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Share Data: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at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Net investment income</w:t>
            </w:r>
            <w:r>
              <w:rPr>
                <w:rFonts w:ascii="Times New Roman" w:hAnsi="Times New Roman"/>
                <w:color w:val="000000"/>
                <w:sz w:val="11"/>
              </w:rPr>
              <w:t>(1)(6)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Net realized gain (loss) from investments</w:t>
            </w:r>
            <w:r>
              <w:rPr>
                <w:rFonts w:ascii="Times New Roman" w:hAnsi="Times New Roman"/>
                <w:color w:val="000000"/>
                <w:sz w:val="11"/>
              </w:rPr>
              <w:t>(1)(6)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Net change in unrealized appreciation (depreciation) on investments</w:t>
            </w:r>
            <w:r>
              <w:rPr>
                <w:rFonts w:ascii="Times New Roman" w:hAnsi="Times New Roman"/>
                <w:color w:val="000000"/>
                <w:sz w:val="11"/>
              </w:rPr>
              <w:t>(1)(6)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Tax (provision) benefit on realized and unrealized gains (losses) on investments</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Realized gain (loss) from extinguishment of debt</w:t>
            </w:r>
            <w:r>
              <w:rPr>
                <w:rFonts w:ascii="Times New Roman" w:hAnsi="Times New Roman"/>
                <w:color w:val="000000"/>
                <w:sz w:val="11"/>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resulting from distributions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(0.62</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Accretive effect of common stock repurchases</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increase (decrease) in net assets relating to stock-based transactions</w:t>
            </w:r>
            <w:r>
              <w:rPr>
                <w:rFonts w:ascii="Times New Roman" w:hAnsi="Times New Roman"/>
                <w:color w:val="000000"/>
                <w:sz w:val="11"/>
              </w:rPr>
              <w:t>(5)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Total net asset value return</w:t>
            </w:r>
            <w:r>
              <w:rPr>
                <w:rFonts w:ascii="Times New Roman" w:hAnsi="Times New Roman"/>
                <w:color w:val="000000"/>
                <w:sz w:val="11"/>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Total market return</w:t>
            </w:r>
            <w:r>
              <w:rPr>
                <w:rFonts w:ascii="Times New Roman" w:hAnsi="Times New Roman"/>
                <w:color w:val="000000"/>
                <w:sz w:val="11"/>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(33.16</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Ratio/Supplemental Data: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 share market value at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 share market value at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outstanding at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12,381,742</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9,207,851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at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179,462</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164,729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Portfolio turnover rate</w:t>
            </w:r>
            <w:r>
              <w:rPr>
                <w:rFonts w:ascii="Times New Roman" w:hAnsi="Times New Roman"/>
                <w:color w:val="000000"/>
                <w:sz w:val="11"/>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 coverage ratio</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162.04</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net investment income to average net assets (annualized)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total expenses to average net assets (annualized)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interest expense to average net assets (annualized)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non-interest expenses to average net assets (annualized)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pBdr>
          <w:bottom w:val="single" w:sz="8" w:space="1" w:color="000000"/>
        </w:pBdr>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Based on weighted average number of common shares outstanding-basic for the period.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Total net asset value return (not annualized) equals the change in the net asset value per share over the period plus distributions (including any return of capital), divided by the beginning net asset value per share.</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Total market return (not annualized) equals the change in market price, per share during the period plus distributions, divided by the beginning market price per share.</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Portfolio turnover rate equals the lesser of year-to-date sales and paydowns over the average of the invested assets at fair value.</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Includes the accretive (dilutive) effects of the share issuance (at net asset value or in accordance with the DRIP).</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Includes the effect of the Purchase Accounting as a result of asset acquisitions. Please refer to Note 2 — "Significant Accounting Policies" and Note 11 — "LRFC Acquisition" for additional information on Purchase Accounting for the LRFC Acquisition.</w:t>
      </w:r>
    </w:p>
    <w:p>
      <w:pPr>
        <w:pStyle w:val="TextBody"/>
        <w:bidi w:val="0"/>
        <w:jc w:val="both"/>
        <w:rPr/>
      </w:pPr>
      <w:r>
        <w:rPr/>
        <w:t> </w:t>
      </w:r>
    </w:p>
    <w:p>
      <w:pPr>
        <w:pStyle w:val="TextBody"/>
        <w:bidi w:val="0"/>
        <w:spacing w:before="120" w:after="283"/>
        <w:jc w:val="center"/>
        <w:rPr>
          <w:rFonts w:ascii="Times New Roman" w:hAnsi="Times New Roman"/>
          <w:color w:val="000000"/>
          <w:sz w:val="12"/>
        </w:rPr>
      </w:pPr>
      <w:r>
        <w:rPr>
          <w:rFonts w:ascii="Times New Roman" w:hAnsi="Times New Roman"/>
          <w:color w:val="000000"/>
          <w:sz w:val="12"/>
        </w:rPr>
        <w:t>See accompanying notes to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w:t>
        <w:br/>
        <w:t>June 30, 2026</w:t>
        <w:br/>
        <w:t>(Unaudited)</w:t>
      </w:r>
    </w:p>
    <w:p>
      <w:pPr>
        <w:pStyle w:val="TextBody"/>
        <w:bidi w:val="0"/>
        <w:spacing w:before="240" w:after="283"/>
        <w:jc w:val="both"/>
        <w:rPr>
          <w:rFonts w:ascii="Times New Roman" w:hAnsi="Times New Roman"/>
          <w:b/>
          <w:color w:val="000000"/>
          <w:sz w:val="16"/>
        </w:rPr>
      </w:pPr>
      <w:bookmarkStart w:id="9" w:name="notes"/>
      <w:bookmarkEnd w:id="9"/>
      <w:r>
        <w:rPr>
          <w:rFonts w:ascii="Times New Roman" w:hAnsi="Times New Roman"/>
          <w:b/>
          <w:color w:val="000000"/>
          <w:sz w:val="16"/>
        </w:rPr>
        <w:t>1. ORGANIZATION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BCP Investment Corporation (“BCIC” or the “Company”), formerly known as Portman Ridge Finance Corporation,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29, 2018, the Company’s Board of Directors (the “Board”), including a “required majority” (as such term is defined in Section 57(o) of the 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third quarter of 2017, the Company formed a joint venture with Freedom 3 Opportunities LLC (“Freedom 3 Opportunities”), an affiliate of Freedom 3 Capital LLC, to create KCAP Freedom 3 LLC (the “F3C Joint Venture”). The F3C Joint Venture may originate loans from time to time and sell them to the fund capitalized by the F3C Joint Venture.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November 8, 2018, the Company entered into an agreement with LibreMax Intermediate Holdings, LP (“LibreMax”) under which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June 30, 2026, the Company’s remaining wholly-owned asset management subsidiaries (the “Asset Manager Affiliates”) were comprised of Katonah Management Holdings, LLC and KCAP Management, LLC. Prior to their sale in the LibreMax Transaction, the Disposed Manager Affiliates represented substantially all of the Company’s investment in the Asset Manager Affiliates.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August 22, 2025, the Company changed its name from Portman Ridge Finance Corporation to BCP Investment Corporation and on August 25, 2025, the Company began trading on the NASDAQ Global Select Market under the symbol “BCIC.”</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The Externalization Agreement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About the Adviser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 is an affiliate of BC Partners.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During the fourth quarter of 2020, LibreMax Intermediate Holdings, LP (“LibreMax”) sold its minority stake in the Adviser to a wholly-owned subsidiary of Mount Logan Capital Inc. (“Mount Logan”). An affiliate of BC Partners serves as administrator to Mount Logan.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GARS Transaction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October 28, 2020, we completed our acquisition of Garrison Capital Inc., a publicly traded BDC (“GARS”, and such transaction,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accordance with the terms of the merger agreement for the GARS Acquisition, dated June 24, 2020 (the “GARS Merger Agreement”), each share of common stock, par value $0.001 per share, of GARS (the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pStyle w:val="TextBody"/>
        <w:bidi w:val="0"/>
        <w:jc w:val="center"/>
        <w:rPr>
          <w:rFonts w:ascii="Times New Roman" w:hAnsi="Times New Roman"/>
          <w:color w:val="000000"/>
          <w:sz w:val="14"/>
        </w:rPr>
      </w:pPr>
      <w:r>
        <w:rPr>
          <w:rFonts w:ascii="Times New Roman" w:hAnsi="Times New Roman"/>
          <w:color w:val="000000"/>
          <w:sz w:val="14"/>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240" w:after="283"/>
        <w:jc w:val="both"/>
        <w:rPr>
          <w:rFonts w:ascii="Times New Roman" w:hAnsi="Times New Roman"/>
          <w:sz w:val="16"/>
        </w:rPr>
      </w:pPr>
      <w:r>
        <w:rPr>
          <w:rFonts w:ascii="Times New Roman" w:hAnsi="Times New Roman"/>
          <w:b/>
          <w:color w:val="000000"/>
          <w:sz w:val="16"/>
        </w:rPr>
        <w:t>HCAP Transaction</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June 9, 2021, we completed our acquisition of Harvest Capital Credit Corporation, a publicly traded BDC (“HCAP”, and such transaction the “HCAP Acquisition”). To effect the acquisition, our wholly owned merger subsidiary (the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terms of the merger agreement for the HCAP Acquisition, dated December 23, 2020, HCAP stockholders as of immediately prior to the effective time of the first merger (other than shares held by a subsidiary of HCAP or held, directly or indirectly, by the Company or Acquisition Sub, and all treasury shares) received a combination of (i) $18.54 million in cash paid by the Company, (ii) 15,252,453 validly issued, fully paid and non-assessable shares of the Company’s common stock, par value $0.01 per share, and (iii) an additional cash payment from the Adviser of $2.15 million in the aggregate.</w:t>
      </w:r>
    </w:p>
    <w:p>
      <w:pPr>
        <w:pStyle w:val="TextBody"/>
        <w:bidi w:val="0"/>
        <w:spacing w:before="240" w:after="283"/>
        <w:jc w:val="both"/>
        <w:rPr>
          <w:rFonts w:ascii="Times New Roman" w:hAnsi="Times New Roman"/>
          <w:sz w:val="16"/>
        </w:rPr>
      </w:pPr>
      <w:r>
        <w:rPr>
          <w:rFonts w:ascii="Times New Roman" w:hAnsi="Times New Roman"/>
          <w:b/>
          <w:color w:val="000000"/>
          <w:sz w:val="16"/>
        </w:rPr>
        <w:t>LRFC Transaction</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July 15, 2025, the Company announced the completion of its acquisition of Logan Ridge Finance Corporation, a Maryland corporation (“LRFC”, and such transaction, the “LRFC Acquisition”), pursuant to the terms of the merger agreement, dated January 29, 2025 (the “LRFC Merger Agreement”). To effect the acquisition, a wholly owned merger subsidiary of the Company merged with and into LRFC, with LRFC surviving the merger as the Company’s wholly owned subsidiary. Immediately thereafter and as a single integrated transaction, LRFC consummated a second merger, whereby LRFC merged with and into the Company, with the Company surviving the merger.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terms of the LRFC Merger Agreement, each share of LRFC common stock issued and outstanding was converted into the right to receive 1.500 newly-issued shares of common stock of the Company, par value $0.01 per share, with cash paid (without interest) in lieu of fractional shares. As additional consideration funded by LRFC’s investment adviser, LRFC shareholders of record as of May 6, 2025 received a cash payment of $0.47 per share. In addition, LRFC shareholders of record as of July 14, 2025 received a tax distribution of $0.38 per share from LRFC. Refer to Note 11 — “LRFC Acquisition” of our notes to the consolidated financial statements for additional information on the LRFC Acquisition.</w:t>
      </w:r>
    </w:p>
    <w:p>
      <w:pPr>
        <w:pStyle w:val="TextBody"/>
        <w:bidi w:val="0"/>
        <w:spacing w:before="240" w:after="283"/>
        <w:jc w:val="both"/>
        <w:rPr>
          <w:rFonts w:ascii="Times New Roman" w:hAnsi="Times New Roman"/>
          <w:sz w:val="16"/>
        </w:rPr>
      </w:pPr>
      <w:r>
        <w:rPr>
          <w:rFonts w:ascii="Times New Roman" w:hAnsi="Times New Roman"/>
          <w:b/>
          <w:color w:val="000000"/>
          <w:sz w:val="16"/>
        </w:rPr>
        <w:t>2.</w:t>
      </w:r>
      <w:r>
        <w:rPr>
          <w:rFonts w:ascii="Times New Roman" w:hAnsi="Times New Roman"/>
          <w:color w:val="000000"/>
          <w:sz w:val="16"/>
        </w:rPr>
        <w:t xml:space="preserve"> </w:t>
      </w:r>
      <w:r>
        <w:rPr>
          <w:rFonts w:ascii="Times New Roman" w:hAnsi="Times New Roman"/>
          <w:b/>
          <w:color w:val="000000"/>
          <w:sz w:val="16"/>
        </w:rPr>
        <w:t>SIGNIFICANT ACCOUNTING POLICIES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Basis of Presentation</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The accompanying unaudited consolidated financial statements have been prepared on the accrual basis of accounting in conformity with U.S. generally accepted accounting principles (“U.S. GAAP”) for interim financial information. Accordingly, they do not include all of the information and footnotes required for annual consolidated financial statements. The unaudited interim consolidated financial statements (“consolidated financial statements”) and notes thereto should be read in conjunction with the financial statements and notes thereto in the Company’s Form 10-K for the year ended December 31, 2025, as filed with the U.S. Securities and Exchange Commission (the “SEC”). The Company is an investment company and follows accounting and reporting guidance in Accounting Standards Codification (“ASC”) 946 — </w:t>
      </w:r>
      <w:r>
        <w:rPr>
          <w:rFonts w:ascii="Times New Roman" w:hAnsi="Times New Roman"/>
          <w:i/>
          <w:color w:val="000000"/>
          <w:sz w:val="16"/>
        </w:rPr>
        <w:t xml:space="preserve">Financial Services — Investment Companies </w:t>
      </w:r>
      <w:r>
        <w:rPr>
          <w:rFonts w:ascii="Times New Roman" w:hAnsi="Times New Roman"/>
          <w:color w:val="000000"/>
          <w:sz w:val="16"/>
        </w:rPr>
        <w:t>(“ASC 946”). Certain prior year investment related disclosures have been reclassified to conform to the current period presentation.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consolidates the financial statements of its wholly-owned special purpose financing subsidiaries, including Great Lakes KCAP Funding I, LLC, Kohlberg Capital Funding LLC I, KCAP Senior Funding I, LLC, KCAP Senior Funding I Holdings, LLC, Great Lakes Portman Ridge Funding, LLC, Garrison Capital Equity Holdings VIII LLC, Garrison Capital Equity Holdings XI LLC, GIG Rooster Holdings I LLC, CapitalSouth Partners Fund II Limited Partnership, CapitalSouth Fund III, L.P. and Capitala Business Lending, LLC, in its consolidated financial statements as they are operated solely for investment activities of the Company. The creditors of Great Lakes Portman Ridge Funding, LLC received security interests in the assets which are owned by them and such assets are not intended to be available to the creditors of the Company or any other affiliate. The Company also consolidates various subsidiaries (PTMN Sub Holdings LLC, Garrison Capital Equity Holdings II, LLC, CPTA Master Blocker, Inc., and HCAP Equity Holdings, LLC) created primarily to provide specific tax treatment for the equity and other investments held by these entities.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determination of the tax character of distributions is made on an annual (full calendar 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It is the Company’s primary investment objective to generate current income and capital appreciation by lending directly to privately-held middle market companies.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During the three months ended June 30, 2026, the Company made approximately $20.9 million of investments and had approximately $34.9 million in repayments and sales, resulting in net repayments and sales of approximately $14.0 million for the period. During the three months ended June 30, 2025, the Company made approximately $10.9 million of investments and had approximately $17.0 million in repayments and sales, resulting in net repayments and sales of approximately $6.1 million for the period.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During the six months ended June 30, 2026, the Company made approximately $34.2 million of investments and had approximately $63.2 million in repayments and sales, resulting in net repayments and sales of approximately $29.0 million for the period. During the six months ended June 30, 2025, the Company made approximately $28.4 million of investments and had approximately $32.7 million in repayments and sales, resulting in net repayments and sales of approximately $4.3 million for the period.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June 30, 2026, our portfolio consisted of investments in 107 portfolio companies with a fair value of approximately $452.7 million. As of December 31, 2025, our portfolio consisted of investments in 108 portfolio companies with a fair value of approximately $501.0 million. In addition to providing loans to portfolio companies, from time to time the Company assists portfolio companies in securing financing from other sources by introducing such portfolio companies to sponsors or by, among other things, leading a syndicate of lenders to provide the portfolio companies with financing.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As of June 30, 2026, the debt investment portfolio (excluding our investments in the CLO Funds, equities and Joint Ventures) was spread across 33 different industries and 71 different portfolio companies with a fair value of approximately $349.7 million and average par balance per investment of approximately $3.2 million. As of December 31,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2025, the debt investment portfolio (excluding our investments in the CLO Funds, equities and Joint Ventures) was spread across 34 different industries and 74 different portfolio companies with a fair value of approximately $411.6 million and average par balance per investment of approximately $3.5 million. </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Recent Accounting Pronouncements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November 2024, the FASB issued ASU 2024-03, Income Statement—Reporting Comprehensive Income—Expense Disaggregation Disclosures (“ASU 2024-03”), which requires disaggregated disclosure of certain costs and expenses, including purchases of inventory, employee compensation, depreciation, amortization and depletion, within relevant income statement captions. ASU 2024-03 is effective for fiscal years beginning after December 15, 2026, and interim periods beginning after December 15, 2027. Early adoption and retrospective application is permitted. The Company is currently assessing the impact of this guidance, however, the Company does not expect a material impact on its consolidated financial statements.</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Investment transactions are recorded on the applicable trade date. Realized gains or losses are determined using the specific identification method. </w:t>
      </w:r>
    </w:p>
    <w:p>
      <w:pPr>
        <w:pStyle w:val="TextBody"/>
        <w:bidi w:val="0"/>
        <w:spacing w:before="120" w:after="283"/>
        <w:jc w:val="both"/>
        <w:rPr>
          <w:rFonts w:ascii="Times New Roman" w:hAnsi="Times New Roman"/>
          <w:sz w:val="16"/>
        </w:rPr>
      </w:pPr>
      <w:r>
        <w:rPr>
          <w:rFonts w:ascii="Times New Roman" w:hAnsi="Times New Roman"/>
          <w:i/>
          <w:color w:val="000000"/>
          <w:sz w:val="16"/>
        </w:rPr>
        <w:t>Valuation of Portfolio Investments</w:t>
      </w:r>
      <w:r>
        <w:rPr>
          <w:rFonts w:ascii="Times New Roman" w:hAnsi="Times New Roman"/>
          <w:color w:val="000000"/>
          <w:sz w:val="16"/>
        </w:rPr>
        <w:t xml:space="preserve">. The Board has designated the Adviser as its “valuation designee” pursuant to Rule 2a-5 under the 1940 Act, and in that role the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making fair value determinations under the 1940 Act and satisfies its responsibility through oversight of the valuation designee in accordance with Rule 2a-5. Debt and equity securities for which market quotations are readily available are generally valued at such market quotations. Debt and equity securities that are not publicly traded or whose market price is not readily available are valued by the Adviser based on detailed analyses prepared by management and, in certain circumstances, third parties with valuation expertise. Valuations are conducted by management on 100% of the investment portfolio at the end of each quarter. The Company follows the provisions of ASC 820: </w:t>
      </w:r>
      <w:r>
        <w:rPr>
          <w:rFonts w:ascii="Times New Roman" w:hAnsi="Times New Roman"/>
          <w:i/>
          <w:color w:val="000000"/>
          <w:sz w:val="16"/>
        </w:rPr>
        <w:t>Fair Value Measurement</w:t>
      </w:r>
      <w:r>
        <w:rPr>
          <w:rFonts w:ascii="Times New Roman" w:hAnsi="Times New Roman"/>
          <w:color w:val="000000"/>
          <w:sz w:val="16"/>
        </w:rPr>
        <w:t xml:space="preserve"> (“ASC 820”). This standard defines fair value, establishes a framework for measuring fair value, and expands disclosures about assets and liabilities measured at fair value. ASC 820 defines “fair value” as the price that would be received to sell an asset or paid to transfer a liability in an orderly transaction between market participants at the measurement date.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Adviser utilizes one or more independent valuation firms to provide third party valuation consulting services. Each quarter the independent valuation firms perform third party valuations of the Company’s investments in material illiquid securities such that they are reviewed at least once during a trailing 12-month period. These third-party valuation estimates are considered as one of the relevant data points in the Adviser’s determination of fair value.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 may consider other methods of valuation than those set forth below to determine the fair value of Level III investments as appropriate in conformity with U.S.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pStyle w:val="TextBody"/>
        <w:bidi w:val="0"/>
        <w:spacing w:before="120" w:after="283"/>
        <w:jc w:val="both"/>
        <w:rPr>
          <w:rFonts w:ascii="Times New Roman" w:hAnsi="Times New Roman"/>
          <w:sz w:val="16"/>
        </w:rPr>
      </w:pPr>
      <w:r>
        <w:rPr>
          <w:rFonts w:ascii="Times New Roman" w:hAnsi="Times New Roman"/>
          <w:i/>
          <w:color w:val="000000"/>
          <w:sz w:val="16"/>
        </w:rPr>
        <w:t>Debt Securities</w:t>
      </w:r>
      <w:r>
        <w:rPr>
          <w:rFonts w:ascii="Times New Roman" w:hAnsi="Times New Roman"/>
          <w:color w:val="000000"/>
          <w:sz w:val="16"/>
        </w:rPr>
        <w:t>. To the extent that the Company’s investments are liquid and are priced or have sufficient price indications from normal 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pStyle w:val="TextBody"/>
        <w:bidi w:val="0"/>
        <w:spacing w:before="120" w:after="283"/>
        <w:jc w:val="both"/>
        <w:rPr>
          <w:rFonts w:ascii="Times New Roman" w:hAnsi="Times New Roman"/>
          <w:sz w:val="16"/>
        </w:rPr>
      </w:pPr>
      <w:r>
        <w:rPr>
          <w:rFonts w:ascii="Times New Roman" w:hAnsi="Times New Roman"/>
          <w:i/>
          <w:color w:val="000000"/>
          <w:sz w:val="16"/>
        </w:rPr>
        <w:t>Equity Securities</w:t>
      </w:r>
      <w:r>
        <w:rPr>
          <w:rFonts w:ascii="Times New Roman" w:hAnsi="Times New Roman"/>
          <w:color w:val="000000"/>
          <w:sz w:val="16"/>
        </w:rPr>
        <w:t>. The Company’s equity securities in portfolio companies for which there is no liquid public market are carried at fair value based on 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 </w:t>
      </w:r>
    </w:p>
    <w:p>
      <w:pPr>
        <w:pStyle w:val="TextBody"/>
        <w:bidi w:val="0"/>
        <w:spacing w:before="120" w:after="283"/>
        <w:jc w:val="both"/>
        <w:rPr>
          <w:rFonts w:ascii="Times New Roman" w:hAnsi="Times New Roman"/>
          <w:sz w:val="16"/>
        </w:rPr>
      </w:pPr>
      <w:r>
        <w:rPr>
          <w:rFonts w:ascii="Times New Roman" w:hAnsi="Times New Roman"/>
          <w:i/>
          <w:color w:val="000000"/>
          <w:sz w:val="16"/>
        </w:rPr>
        <w:t>Derivatives</w:t>
      </w:r>
      <w:r>
        <w:rPr>
          <w:rFonts w:ascii="Times New Roman" w:hAnsi="Times New Roman"/>
          <w:color w:val="000000"/>
          <w:sz w:val="16"/>
        </w:rPr>
        <w:t>. 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 values derivative contracts using various pricing models that take into account the terms of the contract (including notional amount and contract maturity) and observable and unobservable inputs such as interest rates and changes in fair value of the reference asset. </w:t>
      </w:r>
    </w:p>
    <w:p>
      <w:pPr>
        <w:pStyle w:val="TextBody"/>
        <w:bidi w:val="0"/>
        <w:spacing w:before="120" w:after="283"/>
        <w:jc w:val="both"/>
        <w:rPr>
          <w:rFonts w:ascii="Times New Roman" w:hAnsi="Times New Roman"/>
          <w:sz w:val="16"/>
        </w:rPr>
      </w:pPr>
      <w:r>
        <w:rPr>
          <w:rFonts w:ascii="Times New Roman" w:hAnsi="Times New Roman"/>
          <w:i/>
          <w:color w:val="000000"/>
          <w:sz w:val="16"/>
        </w:rPr>
        <w:t>Asset Manager Affiliates</w:t>
      </w:r>
      <w:r>
        <w:rPr>
          <w:rFonts w:ascii="Times New Roman" w:hAnsi="Times New Roman"/>
          <w:color w:val="000000"/>
          <w:sz w:val="16"/>
        </w:rPr>
        <w:t xml:space="preserve">. The Company sold all of its investment in the Disposed Manager Affiliates on December 31, 2018. Previously, the Company’s investments in its wholly-owned Asset Manager Affiliates, were carried at fair value, which was primarily determined utilizing the discounted cash flow approach, which incorporated different levels of discount rates depending on the hierarchy of fees earned (including the likelihood of realization of senior, subordinate and incentive fees) and prospective modeled performance. Such valuation took into consideration an analysis of comparable asset management companies and the amount of assets under management. The Asset Manager Affiliates were classified as a Level III investment. Any change in value from period to period was recognized as net change in unrealized appreciation or depreciation. </w:t>
      </w:r>
    </w:p>
    <w:p>
      <w:pPr>
        <w:pStyle w:val="TextBody"/>
        <w:bidi w:val="0"/>
        <w:spacing w:before="120" w:after="283"/>
        <w:jc w:val="both"/>
        <w:rPr>
          <w:rFonts w:ascii="Times New Roman" w:hAnsi="Times New Roman"/>
          <w:sz w:val="16"/>
        </w:rPr>
      </w:pPr>
      <w:r>
        <w:rPr>
          <w:rFonts w:ascii="Times New Roman" w:hAnsi="Times New Roman"/>
          <w:i/>
          <w:color w:val="000000"/>
          <w:sz w:val="16"/>
        </w:rPr>
        <w:t>CLO Fund Securities</w:t>
      </w:r>
      <w:r>
        <w:rPr>
          <w:rFonts w:ascii="Times New Roman" w:hAnsi="Times New Roman"/>
          <w:color w:val="000000"/>
          <w:sz w:val="16"/>
        </w:rPr>
        <w:t>. The Company typically makes a non-controlling investment in the most junior class of securities of CLO Funds. The investments held by CLO Funds generally relate to non-investment grade credit instruments issued by corporations.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pStyle w:val="TextBody"/>
        <w:bidi w:val="0"/>
        <w:spacing w:before="120" w:after="283"/>
        <w:jc w:val="both"/>
        <w:rPr>
          <w:rFonts w:ascii="Times New Roman" w:hAnsi="Times New Roman"/>
          <w:sz w:val="16"/>
        </w:rPr>
      </w:pPr>
      <w:r>
        <w:rPr>
          <w:rFonts w:ascii="Times New Roman" w:hAnsi="Times New Roman"/>
          <w:i/>
          <w:color w:val="000000"/>
          <w:sz w:val="16"/>
        </w:rPr>
        <w:t>Short-term investments</w:t>
      </w:r>
      <w:r>
        <w:rPr>
          <w:rFonts w:ascii="Times New Roman" w:hAnsi="Times New Roman"/>
          <w:color w:val="000000"/>
          <w:sz w:val="16"/>
        </w:rPr>
        <w:t>. Short-term investments are generally comprised of money market accounts, time deposits, and U.S. treasury bills.</w:t>
      </w:r>
    </w:p>
    <w:p>
      <w:pPr>
        <w:pStyle w:val="TextBody"/>
        <w:bidi w:val="0"/>
        <w:spacing w:before="120" w:after="283"/>
        <w:jc w:val="both"/>
        <w:rPr>
          <w:rFonts w:ascii="Times New Roman" w:hAnsi="Times New Roman"/>
          <w:sz w:val="16"/>
        </w:rPr>
      </w:pPr>
      <w:r>
        <w:rPr>
          <w:rFonts w:ascii="Times New Roman" w:hAnsi="Times New Roman"/>
          <w:i/>
          <w:color w:val="000000"/>
          <w:sz w:val="16"/>
        </w:rPr>
        <w:t>Joint Ventures</w:t>
      </w:r>
      <w:r>
        <w:rPr>
          <w:rFonts w:ascii="Times New Roman" w:hAnsi="Times New Roman"/>
          <w:color w:val="000000"/>
          <w:sz w:val="16"/>
        </w:rPr>
        <w:t>. The Company carries investments in joint ventures (“Joint Ventures”) at fair value based upon the fair value of the investments held by the joint venture, or the net asset value as a practical expedient. See Note 4 — “Investments” below for more information regarding the Joint Ventures.</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Cash and Cash Equivalents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Cash and cash equivalents include short-term, highly liquid investments, readily convertible to known amounts of cash, with an original maturity of three months or less in accounts such as demand deposit accounts and certain overnight investment sweep accounts. The Company records cash and cash equivalents at cost, which approximates fair value.</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Restricted Cash</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Restricted cash and cash equivalents generally consist of cash held for interest and principal payments on the Company’s borrowings.</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Foreign Currency Translations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accounting records of the Company are maintained in U.S. dollars. All assets and liabilities denominated in foreign currencies are translated into U.S. dollars based on the foreign exchange rate on the date of valuation. The Company does not isolate that portion of the results of operations resulting from changes in foreign exchange rates on investments from the fluctuations arising from changes in market prices of securities held. The Company’s investments in foreign securities may involve certain risks, including without limitation: foreign exchange restrictions, expropriation, taxation or other political, social or economic risks, all of which could affect the market and/or credit risk of the investment. In addition, changes in the relationship of foreign currencies to the U.S. dollar can significantly affect the value of these investments and therefore the earnings of the Company.</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Investment Income</w:t>
      </w:r>
    </w:p>
    <w:p>
      <w:pPr>
        <w:pStyle w:val="TextBody"/>
        <w:bidi w:val="0"/>
        <w:spacing w:before="120" w:after="283"/>
        <w:jc w:val="both"/>
        <w:rPr>
          <w:rFonts w:ascii="Times New Roman" w:hAnsi="Times New Roman"/>
          <w:sz w:val="16"/>
        </w:rPr>
      </w:pPr>
      <w:r>
        <w:rPr>
          <w:rFonts w:ascii="Times New Roman" w:hAnsi="Times New Roman"/>
          <w:i/>
          <w:color w:val="000000"/>
          <w:sz w:val="16"/>
        </w:rPr>
        <w:t>Interest Income</w:t>
      </w:r>
      <w:r>
        <w:rPr>
          <w:rFonts w:ascii="Times New Roman" w:hAnsi="Times New Roman"/>
          <w:color w:val="000000"/>
          <w:sz w:val="16"/>
        </w:rPr>
        <w:t>. Interest income, including the amortization of premium and accretion of discount and accrual of payment-in-kind (“PIK”) interest, is 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Accrued interest is generally reversed when a loan or security is placed on non-accrual status. Payments received on non-accrual loans or securities may be recognized as income or applied to principal depending on management’s judgment regarding the collectability of the outstanding principal and interest.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June 30, 2026, eleven of our debt investments were on non-accrual status, which were attributable to seven portfolio companies, with an aggregate amortized cost of $30.4 million and an aggregate fair value of $14.1 million, which represented 5.7% and 3.1% of the investment portfolio, respectively. However, for a subset of the non-accrual population, the Company continues to recognize interest income on a cash basis (i.e., only when cash payments are actually received). Refer to the consolidated schedule of investments for further details. As of December 31, 2025, thirteen of our debt investments were on non-accrual status, which were attributable to ten portfolio companies, with an aggregate amortized cost of $40.4 million and an aggregate fair value of $20.0 million, which represented 7.1% and 4.0% of the investment portfolio, respectively.</w:t>
      </w:r>
    </w:p>
    <w:p>
      <w:pPr>
        <w:pStyle w:val="TextBody"/>
        <w:bidi w:val="0"/>
        <w:spacing w:before="120" w:after="283"/>
        <w:jc w:val="both"/>
        <w:rPr>
          <w:rFonts w:ascii="Times New Roman" w:hAnsi="Times New Roman"/>
          <w:sz w:val="16"/>
        </w:rPr>
      </w:pPr>
      <w:r>
        <w:rPr>
          <w:rFonts w:ascii="Times New Roman" w:hAnsi="Times New Roman"/>
          <w:i/>
          <w:color w:val="000000"/>
          <w:sz w:val="16"/>
        </w:rPr>
        <w:t>Investment Income on CLO Fund Securities</w:t>
      </w:r>
      <w:r>
        <w:rPr>
          <w:rFonts w:ascii="Times New Roman" w:hAnsi="Times New Roman"/>
          <w:color w:val="000000"/>
          <w:sz w:val="16"/>
        </w:rPr>
        <w:t>. The Company generates investment income from its investments in the most junior class of securities issued by CLO Funds (typically preferred shares or subordinated securities). The Company’s CLO Fund junior class securities are subordinated to senior note holders who typically receive a stated interest rate of return based on a floating rate index, such as the Secured Overnight Financing Rate (“SOFR”)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U.S. GAAP-basis investment income on CLO equity investments is recorded using the effective interest method in accordance with the provisions of ASC 325-40: </w:t>
      </w:r>
      <w:r>
        <w:rPr>
          <w:rFonts w:ascii="Times New Roman" w:hAnsi="Times New Roman"/>
          <w:i/>
          <w:color w:val="000000"/>
          <w:sz w:val="16"/>
        </w:rPr>
        <w:t xml:space="preserve">Beneficial Interests in Securitized Financial Assets </w:t>
      </w:r>
      <w:r>
        <w:rPr>
          <w:rFonts w:ascii="Times New Roman" w:hAnsi="Times New Roman"/>
          <w:color w:val="000000"/>
          <w:sz w:val="16"/>
        </w:rPr>
        <w:t>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GAAP statement of operations differs from both the tax–basis investment income and from the cash distributions actually received by the Company during the period.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non-junior class CLO Fund Securities, interest is earned at a fixed spread relative to the SOFR index.</w:t>
      </w:r>
    </w:p>
    <w:p>
      <w:pPr>
        <w:pStyle w:val="TextBody"/>
        <w:bidi w:val="0"/>
        <w:spacing w:before="120" w:after="283"/>
        <w:jc w:val="both"/>
        <w:rPr>
          <w:rFonts w:ascii="Times New Roman" w:hAnsi="Times New Roman"/>
          <w:sz w:val="16"/>
        </w:rPr>
      </w:pPr>
      <w:r>
        <w:rPr>
          <w:rFonts w:ascii="Times New Roman" w:hAnsi="Times New Roman"/>
          <w:i/>
          <w:color w:val="000000"/>
          <w:sz w:val="16"/>
        </w:rPr>
        <w:t>Investment Income on Joint Ventures</w:t>
      </w:r>
      <w:r>
        <w:rPr>
          <w:rFonts w:ascii="Times New Roman" w:hAnsi="Times New Roman"/>
          <w:color w:val="000000"/>
          <w:sz w:val="16"/>
        </w:rPr>
        <w:t>. The Company recognizes investment income on its investment in the Joint Ventures based upon its share of the estimated earnings and profits of the Joint Venture on the ex-dividend or ex-distribution date. The final determination of the tax attributes of distributions from the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pStyle w:val="TextBody"/>
        <w:bidi w:val="0"/>
        <w:spacing w:before="120" w:after="283"/>
        <w:jc w:val="both"/>
        <w:rPr>
          <w:rFonts w:ascii="Times New Roman" w:hAnsi="Times New Roman"/>
          <w:sz w:val="16"/>
        </w:rPr>
      </w:pPr>
      <w:r>
        <w:rPr>
          <w:rFonts w:ascii="Times New Roman" w:hAnsi="Times New Roman"/>
          <w:i/>
          <w:color w:val="000000"/>
          <w:sz w:val="16"/>
        </w:rPr>
        <w:t>Fees and other income</w:t>
      </w:r>
      <w:r>
        <w:rPr>
          <w:rFonts w:ascii="Times New Roman" w:hAnsi="Times New Roman"/>
          <w:color w:val="000000"/>
          <w:sz w:val="16"/>
        </w:rPr>
        <w:t>. Origination fees (to the extent services are performed to earn such income upon closing), amendment fees, consent fees, and other fees associated with investments in portfolio companies are recognized as income when they are earned. Prepayment penalties received by the Company for debt instruments repaid prior to maturity date are recorded as income upon receipt.</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Debt Issuance Costs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Debt issuance costs represent fees and other direct costs incurred in connection with the Company’s borrowings. These amounts are capitalized, presented as a reduction of debt, and amortized using the effective interest method over the expected term of the borrowing.</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Extinguishment of Debt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derecognizes a liability if and only if it has been extinguished through delivery of cash, delivery of other financial assets, delivery of goods or services, or reacquisition by the Company of its outstanding debt securities whether the securities are cancelled or held. If the debt contains a cash conversion option, the Company allocates the consideration transferred and transaction costs incurred to the extinguishment of the liability component and the reacquisition of the equity component and recognize a gain or loss in the statement of operations.</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Expenses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 is externally managed and in connection with the Advisory Agreement, pays the Adviser certain investment advisory fees and reimburses the Adviser and Administrator for certain expenses incurred in connection with the services they provide. See Note 5 — “Related Party Transactions — Payment of Expenses under the Advisory and Administration Agreements” below. </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Shareholder Distributions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Distributions to common stockholders are recorded on the ex-dividend date. The amount of distributions, if any, is determined by the Board each quarter. 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pStyle w:val="TextBody"/>
        <w:bidi w:val="0"/>
        <w:spacing w:before="120" w:after="60"/>
        <w:jc w:val="both"/>
        <w:rPr>
          <w:rFonts w:ascii="Times New Roman" w:hAnsi="Times New Roman"/>
          <w:b/>
          <w:i/>
          <w:color w:val="000000"/>
          <w:sz w:val="16"/>
        </w:rPr>
      </w:pPr>
      <w:r>
        <w:rPr>
          <w:rFonts w:ascii="Times New Roman" w:hAnsi="Times New Roman"/>
          <w:b/>
          <w:i/>
          <w:color w:val="000000"/>
          <w:sz w:val="16"/>
        </w:rPr>
        <w:t>Asset Acquisition</w:t>
      </w:r>
    </w:p>
    <w:p>
      <w:pPr>
        <w:pStyle w:val="TextBody"/>
        <w:bidi w:val="0"/>
        <w:spacing w:before="60" w:after="60"/>
        <w:jc w:val="both"/>
        <w:rPr>
          <w:rFonts w:ascii="Times New Roman" w:hAnsi="Times New Roman"/>
          <w:sz w:val="16"/>
        </w:rPr>
      </w:pPr>
      <w:r>
        <w:rPr>
          <w:rFonts w:ascii="Times New Roman" w:hAnsi="Times New Roman"/>
          <w:color w:val="000000"/>
          <w:sz w:val="16"/>
        </w:rPr>
        <w:t xml:space="preserve">The LRFC Acquisition was accounted for under the asset acquisition method of accounting in accordance with ASC 805-50: </w:t>
      </w:r>
      <w:r>
        <w:rPr>
          <w:rFonts w:ascii="Times New Roman" w:hAnsi="Times New Roman"/>
          <w:i/>
          <w:color w:val="000000"/>
          <w:sz w:val="16"/>
        </w:rPr>
        <w:t>Business Combinations</w:t>
      </w:r>
      <w:r>
        <w:rPr>
          <w:rFonts w:ascii="Times New Roman" w:hAnsi="Times New Roman"/>
          <w:color w:val="000000"/>
          <w:sz w:val="16"/>
        </w:rPr>
        <w:t xml:space="preserve"> – </w:t>
      </w:r>
      <w:r>
        <w:rPr>
          <w:rFonts w:ascii="Times New Roman" w:hAnsi="Times New Roman"/>
          <w:i/>
          <w:color w:val="000000"/>
          <w:sz w:val="16"/>
        </w:rPr>
        <w:t xml:space="preserve">Related Issues </w:t>
      </w:r>
      <w:r>
        <w:rPr>
          <w:rFonts w:ascii="Times New Roman" w:hAnsi="Times New Roman"/>
          <w:color w:val="000000"/>
          <w:sz w:val="16"/>
        </w:rPr>
        <w:t>(“ASC 805-50”), also referred to as “purchase accounting.” Under the asset acquisition method, acquiring assets in groups requires ascertaining the cost of the asset (or net assets) and allocating that cost to the individual assets (or individual assets and liabilities) that make up the group. Per ASC 805-50,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books.</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 xml:space="preserve">The cost of the group of assets acquired in an asset acquisition is allocated to the individual assets acquired or liabilities assumed based on the relative fair values of net identifiable assets acquired other than “non-qualifying” assets (e.g., cash), and does not give rise to goodwill. To the extent that the consideration paid to the LRFC shareholders or the members of acquired entities exceeded the relative fair values of the net identifiable assets acquired, other than “non-qualifying” assets, any such premium paid by the Company was further allocated to the cost of the assets acquired by the Company pro-rata to their relative fair value, other than “non-qualifying” assets, which are investments in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loans and equity securities.</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purchase discount allocated to the loan investments acquired will amortize over the life of each respective loan through interest income with a corresponding adjustment recorded as unrealized depreciation on such loans acquired through their ultimate disposition. The purchase discount allocated to equity investments acquired will not amortize over the life of such investments through interest income and, assuming no subsequent change to the fair value of the equity investments acquired and disposition of such equity investments at fair value, the Company will recognize a realized gain with a corresponding reversal of the unrealized appreciation on disposition of such equity investments acquired.</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Immediately following the completion of the LRFC Acquisition, the Company recorded the acquired assets at their respective fair values. As a result, the acquisition resulted in a purchase discount, which was immediately recognized as unrealized appreciation on the Company’s consolidated statements of operations. The purchase discount allocated to investments in loan securities will amortize over the life of the loans through interest income, with a corresponding reversal of the unrealized appreciation on the loans acquired through their ultimate disposition. For the three months ended June 30, 2026 and 2025, amortization of the purchase discount relating to asset acquisitions was $2.2 million and less than $0.1 million, respectively. For the six months ended June 30, 2026 and 2025, amortization of the purchase discount relating to asset acquisitions was $5.0 million and less than $0.1 million, respectively. The purchase discount allocated to investments in equity securities will not amortize through interest income and, assuming no subsequent change to the fair value of such equity securities and disposition at fair value, the Company will recognize a realized gain or an increase in realized gains with a corresponding reversal of the unrealized appreciation upon disposition of the LRFC equity securities acquired.</w:t>
      </w:r>
    </w:p>
    <w:p>
      <w:pPr>
        <w:pStyle w:val="TextBody"/>
        <w:bidi w:val="0"/>
        <w:spacing w:before="60" w:after="283"/>
        <w:jc w:val="left"/>
        <w:rPr>
          <w:rFonts w:ascii="Times New Roman" w:hAnsi="Times New Roman"/>
          <w:b/>
          <w:i/>
          <w:color w:val="000000"/>
          <w:sz w:val="16"/>
        </w:rPr>
      </w:pPr>
      <w:r>
        <w:rPr>
          <w:rFonts w:ascii="Times New Roman" w:hAnsi="Times New Roman"/>
          <w:b/>
          <w:i/>
          <w:color w:val="000000"/>
          <w:sz w:val="16"/>
        </w:rPr>
        <w:t>Segment Reporting</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In accordance with ASC 280: </w:t>
      </w:r>
      <w:r>
        <w:rPr>
          <w:rFonts w:ascii="Times New Roman" w:hAnsi="Times New Roman"/>
          <w:i/>
          <w:color w:val="000000"/>
          <w:sz w:val="16"/>
        </w:rPr>
        <w:t>Segment Reporting</w:t>
      </w:r>
      <w:r>
        <w:rPr>
          <w:rFonts w:ascii="Times New Roman" w:hAnsi="Times New Roman"/>
          <w:color w:val="000000"/>
          <w:sz w:val="16"/>
        </w:rPr>
        <w:t xml:space="preserve"> (“ASC 280”), the Company has determined that it has a single operating and reporting segment, the “Investment Management Segment”. As a result, the Company’s segment accounting policies are the same as described herein and the Company does not have any intra-segment sales and transfers of assets. Refer to Note 12 — “Segment Reporting” of our notes to the consolidated financial statements for additional information on segment reporting.</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3. EARNINGS (LOSSES) PER SHARE</w:t>
      </w:r>
    </w:p>
    <w:p>
      <w:pPr>
        <w:pStyle w:val="TextBody"/>
        <w:bidi w:val="0"/>
        <w:spacing w:before="120" w:after="283"/>
        <w:jc w:val="both"/>
        <w:rPr>
          <w:rFonts w:ascii="Times New Roman" w:hAnsi="Times New Roman"/>
          <w:sz w:val="16"/>
        </w:rPr>
      </w:pPr>
      <w:r>
        <w:rPr>
          <w:rFonts w:ascii="Times New Roman" w:hAnsi="Times New Roman"/>
          <w:color w:val="000000"/>
          <w:sz w:val="16"/>
        </w:rPr>
        <w:t>In accordance with the provisions of ASC 260: “</w:t>
      </w:r>
      <w:r>
        <w:rPr>
          <w:rFonts w:ascii="Times New Roman" w:hAnsi="Times New Roman"/>
          <w:i/>
          <w:color w:val="000000"/>
          <w:sz w:val="16"/>
        </w:rPr>
        <w:t>Earnings per Share”</w:t>
      </w:r>
      <w:r>
        <w:rPr>
          <w:rFonts w:ascii="Times New Roman" w:hAnsi="Times New Roman"/>
          <w:color w:val="000000"/>
          <w:sz w:val="16"/>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information sets forth the computation of basic and diluted net increase (decrease) in net assets per share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4423"/>
        <w:gridCol w:w="146"/>
        <w:gridCol w:w="201"/>
        <w:gridCol w:w="941"/>
        <w:gridCol w:w="170"/>
        <w:gridCol w:w="149"/>
        <w:gridCol w:w="201"/>
        <w:gridCol w:w="849"/>
        <w:gridCol w:w="170"/>
        <w:gridCol w:w="149"/>
        <w:gridCol w:w="196"/>
        <w:gridCol w:w="916"/>
        <w:gridCol w:w="166"/>
        <w:gridCol w:w="146"/>
        <w:gridCol w:w="196"/>
        <w:gridCol w:w="826"/>
        <w:gridCol w:w="166"/>
        <w:gridCol w:w="194"/>
      </w:tblGrid>
      <w:tr>
        <w:trPr/>
        <w:tc>
          <w:tcPr>
            <w:tcW w:w="4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4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80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r>
      <w:tr>
        <w:trPr/>
        <w:tc>
          <w:tcPr>
            <w:tcW w:w="4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2026</w:t>
            </w:r>
            <w:r>
              <w:rPr>
                <w:rFonts w:ascii="Times New Roman" w:hAnsi="Times New Roman"/>
                <w:b/>
                <w:color w:val="000000"/>
                <w:sz w:val="11"/>
              </w:rPr>
              <w:t>(1)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2025</w:t>
            </w:r>
            <w:r>
              <w:rPr>
                <w:rFonts w:ascii="Times New Roman" w:hAnsi="Times New Roman"/>
                <w:b/>
                <w:color w:val="000000"/>
                <w:sz w:val="11"/>
              </w:rPr>
              <w:t>(1)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2026</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2025</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resulting from operations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(9,874</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common stock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12,377,806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9,204,657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12,406,681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9,201,451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per share from operations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sz w:val="16"/>
        </w:rPr>
      </w:pPr>
      <w:r>
        <w:rPr>
          <w:rFonts w:ascii="Times New Roman" w:hAnsi="Times New Roman"/>
          <w:color w:val="000000"/>
          <w:sz w:val="14"/>
        </w:rPr>
        <w:t>In applying the if-converted method, conversion is not assumed for purposes of computing diluted earnings per share if the effect would be anti-dilutive. For the three and six months ended June 30, 2026, conversion of the 2032 Convertible Notes into 0.2</w:t>
      </w:r>
      <w:r>
        <w:rPr>
          <w:rFonts w:ascii="Times New Roman" w:hAnsi="Times New Roman"/>
          <w:color w:val="000000"/>
          <w:sz w:val="16"/>
        </w:rPr>
        <w:t xml:space="preserve"> </w:t>
      </w:r>
      <w:r>
        <w:rPr>
          <w:rFonts w:ascii="Times New Roman" w:hAnsi="Times New Roman"/>
          <w:color w:val="000000"/>
          <w:sz w:val="14"/>
        </w:rPr>
        <w:t>million shares was not assumed as the effect on diluted earnings per share would be anti-dilutive. The Company did not hold any potentially dilutive debt instruments during the three and six months ended June 30, 2025.</w:t>
      </w:r>
    </w:p>
    <w:p>
      <w:pPr>
        <w:pStyle w:val="TextBody"/>
        <w:bidi w:val="0"/>
        <w:jc w:val="both"/>
        <w:rPr/>
      </w:pPr>
      <w:r>
        <w:rPr/>
        <w:t>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4.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shows the Company’s portfolio by security type as of June 30, 2026 and December 31, 2025:</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417"/>
        <w:gridCol w:w="146"/>
        <w:gridCol w:w="218"/>
        <w:gridCol w:w="769"/>
        <w:gridCol w:w="146"/>
        <w:gridCol w:w="146"/>
        <w:gridCol w:w="196"/>
        <w:gridCol w:w="691"/>
        <w:gridCol w:w="146"/>
        <w:gridCol w:w="146"/>
        <w:gridCol w:w="337"/>
        <w:gridCol w:w="1187"/>
        <w:gridCol w:w="241"/>
        <w:gridCol w:w="146"/>
        <w:gridCol w:w="218"/>
        <w:gridCol w:w="769"/>
        <w:gridCol w:w="146"/>
        <w:gridCol w:w="146"/>
        <w:gridCol w:w="196"/>
        <w:gridCol w:w="691"/>
        <w:gridCol w:w="146"/>
        <w:gridCol w:w="146"/>
        <w:gridCol w:w="337"/>
        <w:gridCol w:w="1187"/>
        <w:gridCol w:w="291"/>
      </w:tblGrid>
      <w:tr>
        <w:trPr/>
        <w:tc>
          <w:tcPr>
            <w:tcW w:w="1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8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Security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Asset Manager Affiliates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452,741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Represents the equity investment in the Asset Manager Affiliates.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industry concentrations based on the fair value of the Company’s investment portfolio as of June 30, 2026 and December 31, 2025 were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893"/>
        <w:gridCol w:w="146"/>
        <w:gridCol w:w="212"/>
        <w:gridCol w:w="748"/>
        <w:gridCol w:w="146"/>
        <w:gridCol w:w="146"/>
        <w:gridCol w:w="196"/>
        <w:gridCol w:w="691"/>
        <w:gridCol w:w="146"/>
        <w:gridCol w:w="146"/>
        <w:gridCol w:w="291"/>
        <w:gridCol w:w="1022"/>
        <w:gridCol w:w="241"/>
        <w:gridCol w:w="146"/>
        <w:gridCol w:w="212"/>
        <w:gridCol w:w="748"/>
        <w:gridCol w:w="146"/>
        <w:gridCol w:w="146"/>
        <w:gridCol w:w="196"/>
        <w:gridCol w:w="691"/>
        <w:gridCol w:w="146"/>
        <w:gridCol w:w="146"/>
        <w:gridCol w:w="291"/>
        <w:gridCol w:w="1022"/>
        <w:gridCol w:w="291"/>
      </w:tblGrid>
      <w:tr>
        <w:trPr/>
        <w:tc>
          <w:tcPr>
            <w:tcW w:w="1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Cost/Amortized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Cost/Amortized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Providers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Services &amp;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 Fund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Textiles, Apparel &amp; Luxury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Aerospace &amp; Defense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Leisure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Food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Equipment &amp;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Trading Companies &amp; Distributors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Personal Care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Ground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Durables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Automobile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Equipment, Instruments &amp;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 Distribution &amp;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Metals &amp; Mining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Machinery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Diversified Consumer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Interactive Media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Hotels, Restaurants &amp;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Containers &amp; Packaging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Electrical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Communications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Beverages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Hardware, Storage &amp;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Specialty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Diversified Telecommunication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Energy Equipment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Conglomerates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Transportation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Wireless Telecommunication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Broadline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Gas &amp;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Asset Management Company</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452,741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Represents the equity investment in the Asset Manager Affiliates.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Investments in CLO Fund Securities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made non-controlling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CLO Funds less payments made to senior bond holders, fund expenses and management fees) is paid to the holders of the CLO Fund’s subordinated securities or preferred shares.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details investments in CLO Fund Securities as of June 30, 2026 and December 31, 2025:</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508"/>
        <w:gridCol w:w="146"/>
        <w:gridCol w:w="1263"/>
        <w:gridCol w:w="146"/>
        <w:gridCol w:w="214"/>
        <w:gridCol w:w="657"/>
        <w:gridCol w:w="146"/>
        <w:gridCol w:w="146"/>
        <w:gridCol w:w="199"/>
        <w:gridCol w:w="612"/>
        <w:gridCol w:w="146"/>
        <w:gridCol w:w="146"/>
        <w:gridCol w:w="276"/>
        <w:gridCol w:w="800"/>
        <w:gridCol w:w="241"/>
        <w:gridCol w:w="146"/>
        <w:gridCol w:w="241"/>
        <w:gridCol w:w="630"/>
        <w:gridCol w:w="146"/>
        <w:gridCol w:w="146"/>
        <w:gridCol w:w="204"/>
        <w:gridCol w:w="533"/>
        <w:gridCol w:w="146"/>
        <w:gridCol w:w="276"/>
        <w:gridCol w:w="800"/>
        <w:gridCol w:w="291"/>
      </w:tblGrid>
      <w:tr>
        <w:trPr/>
        <w:tc>
          <w:tcPr>
            <w:tcW w:w="1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CLO Fund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Percentage Ownership</w:t>
            </w:r>
            <w:r>
              <w:rPr>
                <w:rFonts w:ascii="Times New Roman" w:hAnsi="Times New Roman"/>
                <w:b/>
                <w:color w:val="000000"/>
                <w:sz w:val="11"/>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Percentage Ownership</w:t>
            </w:r>
            <w:r>
              <w:rPr>
                <w:rFonts w:ascii="Times New Roman" w:hAnsi="Times New Roman"/>
                <w:b/>
                <w:color w:val="000000"/>
                <w:sz w:val="11"/>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Catamaran CLO 2014-1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Catamaran CLO 2018-1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Dryden 30 Senior Loan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JMP Credit Advisors CLO IV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JMP Credit Advisors CLO V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JNTR 2026-1 LLC CLO – Class A-0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JNTR 2026-1 LLC CLO – Class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JNTR 2026-1 LLC CLO – Class 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JNTR 2026-1 LLC CLO – Class A-3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JNTR 2026-1 LLC CLO – Subordinated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JNTR 2026-1 LLC CLO – Subordinated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sz w:val="16"/>
        </w:rPr>
      </w:pPr>
      <w:r>
        <w:rPr>
          <w:rFonts w:ascii="Times New Roman" w:hAnsi="Times New Roman"/>
          <w:color w:val="000000"/>
          <w:sz w:val="14"/>
        </w:rPr>
        <w:t>Represents percentage of class held as of June 30, 2026</w:t>
      </w:r>
      <w:r>
        <w:rPr>
          <w:rFonts w:ascii="Times New Roman" w:hAnsi="Times New Roman"/>
          <w:color w:val="000000"/>
          <w:sz w:val="16"/>
        </w:rPr>
        <w:t xml:space="preserve"> </w:t>
      </w:r>
      <w:r>
        <w:rPr>
          <w:rFonts w:ascii="Times New Roman" w:hAnsi="Times New Roman"/>
          <w:color w:val="000000"/>
          <w:sz w:val="14"/>
        </w:rPr>
        <w:t>and December 31, 2025, respectively.</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Affiliate Investments:</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The following table details investments in affiliates as of June 30, 2026 (dollars in thousands, except share amounts):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051"/>
        <w:gridCol w:w="860"/>
        <w:gridCol w:w="851"/>
        <w:gridCol w:w="192"/>
        <w:gridCol w:w="507"/>
        <w:gridCol w:w="146"/>
        <w:gridCol w:w="223"/>
        <w:gridCol w:w="589"/>
        <w:gridCol w:w="151"/>
        <w:gridCol w:w="193"/>
        <w:gridCol w:w="438"/>
        <w:gridCol w:w="146"/>
        <w:gridCol w:w="202"/>
        <w:gridCol w:w="514"/>
        <w:gridCol w:w="151"/>
        <w:gridCol w:w="182"/>
        <w:gridCol w:w="380"/>
        <w:gridCol w:w="151"/>
        <w:gridCol w:w="181"/>
        <w:gridCol w:w="477"/>
        <w:gridCol w:w="151"/>
        <w:gridCol w:w="158"/>
        <w:gridCol w:w="699"/>
        <w:gridCol w:w="146"/>
        <w:gridCol w:w="172"/>
        <w:gridCol w:w="391"/>
        <w:gridCol w:w="146"/>
        <w:gridCol w:w="170"/>
        <w:gridCol w:w="386"/>
        <w:gridCol w:w="201"/>
      </w:tblGrid>
      <w:tr>
        <w:trPr/>
        <w:tc>
          <w:tcPr>
            <w:tcW w:w="10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(1)</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br/>
              <w:t>Classification</w:t>
            </w:r>
          </w:p>
        </w:tc>
        <w:tc>
          <w:tcPr>
            <w:tcW w:w="6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b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Purchases/</w:t>
              <w:br/>
              <w:t>(Sales) of or</w:t>
              <w:br/>
              <w:t>Advances/</w:t>
              <w:br/>
              <w:t>(Distributions)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w:t>
              <w:br/>
              <w:t>Accretion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Change in Unrealized</w:t>
              <w:b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w:t>
              <w:b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 as of June 30,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 Shares 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and Fee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Dividend</w:t>
              <w:br/>
              <w:t>Income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i/>
                <w:color w:val="000000"/>
                <w:sz w:val="12"/>
              </w:rPr>
              <w:t>Controlled investments</w:t>
            </w:r>
            <w:r>
              <w:rPr>
                <w:rFonts w:ascii="Times New Roman" w:hAnsi="Times New Roman"/>
                <w:b/>
                <w:i/>
                <w:color w:val="000000"/>
                <w:sz w:val="8"/>
              </w:rPr>
              <w:t>(3)</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Asset Management Company</w:t>
            </w:r>
            <w:r>
              <w:rPr>
                <w:rFonts w:ascii="Times New Roman" w:hAnsi="Times New Roman"/>
                <w:color w:val="000000"/>
                <w:sz w:val="8"/>
              </w:rPr>
              <w:t>(2)</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Manager Affiliates</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Management Company</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KCAP Freedom 3, LLC</w:t>
            </w:r>
            <w:r>
              <w:rPr>
                <w:rFonts w:ascii="Times New Roman" w:hAnsi="Times New Roman"/>
                <w:color w:val="000000"/>
                <w:sz w:val="8"/>
              </w:rPr>
              <w:t>(2)</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Ventures</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Controlled investments</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i/>
                <w:color w:val="000000"/>
                <w:sz w:val="12"/>
              </w:rPr>
              <w:t>Non-controlled affiliated investments</w:t>
            </w:r>
            <w:r>
              <w:rPr>
                <w:rFonts w:ascii="Times New Roman" w:hAnsi="Times New Roman"/>
                <w:b/>
                <w:i/>
                <w:color w:val="000000"/>
                <w:sz w:val="8"/>
              </w:rPr>
              <w:t>(4)</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American Clinical Solutions, LLC - Class A</w:t>
            </w:r>
            <w:r>
              <w:rPr>
                <w:rFonts w:ascii="Times New Roman" w:hAnsi="Times New Roman"/>
                <w:color w:val="000000"/>
                <w:sz w:val="8"/>
              </w:rPr>
              <w:t>(5)</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21,579,483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Series B - Great Lakes Funding II LLC</w:t>
            </w:r>
            <w:r>
              <w:rPr>
                <w:rFonts w:ascii="Times New Roman" w:hAnsi="Times New Roman"/>
                <w:color w:val="000000"/>
                <w:sz w:val="8"/>
              </w:rPr>
              <w:t>(2)(6)(7)</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Ventures</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Burgaflex Holdings, LLC - Class A</w:t>
            </w:r>
            <w:r>
              <w:rPr>
                <w:rFonts w:ascii="Times New Roman" w:hAnsi="Times New Roman"/>
                <w:color w:val="000000"/>
                <w:sz w:val="8"/>
              </w:rPr>
              <w:t>(5)</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Burgaflex Holdings, LLC - Class B</w:t>
            </w:r>
            <w:r>
              <w:rPr>
                <w:rFonts w:ascii="Times New Roman" w:hAnsi="Times New Roman"/>
                <w:color w:val="000000"/>
                <w:sz w:val="8"/>
              </w:rPr>
              <w:t>(5)</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Datalink, LLC</w:t>
            </w:r>
            <w:r>
              <w:rPr>
                <w:rFonts w:ascii="Times New Roman" w:hAnsi="Times New Roman"/>
                <w:color w:val="000000"/>
                <w:sz w:val="8"/>
              </w:rPr>
              <w:t>(5)</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Datalink, LLC (Revolver)</w:t>
            </w:r>
            <w:r>
              <w:rPr>
                <w:rFonts w:ascii="Times New Roman" w:hAnsi="Times New Roman"/>
                <w:color w:val="000000"/>
                <w:sz w:val="8"/>
              </w:rPr>
              <w:t>(7)</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Technology</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GreenPark Infrastructure, LLC - Series A</w:t>
            </w:r>
            <w:r>
              <w:rPr>
                <w:rFonts w:ascii="Times New Roman" w:hAnsi="Times New Roman"/>
                <w:color w:val="000000"/>
                <w:sz w:val="8"/>
              </w:rPr>
              <w:t>(5)</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GreenPark Infrastructure, LLC - Series M-1</w:t>
            </w:r>
            <w:r>
              <w:rPr>
                <w:rFonts w:ascii="Times New Roman" w:hAnsi="Times New Roman"/>
                <w:color w:val="000000"/>
                <w:sz w:val="8"/>
              </w:rPr>
              <w:t>(5)</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HR Pharmaceuticals, LLC</w:t>
            </w:r>
            <w:r>
              <w:rPr>
                <w:rFonts w:ascii="Times New Roman" w:hAnsi="Times New Roman"/>
                <w:color w:val="000000"/>
                <w:sz w:val="8"/>
              </w:rPr>
              <w:t>(7)</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HR Pharmaceuticals, LLC</w:t>
            </w:r>
            <w:r>
              <w:rPr>
                <w:rFonts w:ascii="Times New Roman" w:hAnsi="Times New Roman"/>
                <w:color w:val="000000"/>
                <w:sz w:val="8"/>
              </w:rPr>
              <w:t>(5)</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HR Pharmaceuticals, LLC (Revolver)</w:t>
            </w:r>
            <w:r>
              <w:rPr>
                <w:rFonts w:ascii="Times New Roman" w:hAnsi="Times New Roman"/>
                <w:color w:val="000000"/>
                <w:sz w:val="8"/>
              </w:rPr>
              <w:t>(7)</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Equipment &amp; Supplies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JNTR 2026-1 LLC CLO – Class A-0</w:t>
            </w:r>
            <w:r>
              <w:rPr>
                <w:rFonts w:ascii="Times New Roman" w:hAnsi="Times New Roman"/>
                <w:color w:val="000000"/>
                <w:sz w:val="8"/>
              </w:rPr>
              <w:t>(2)</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JNTR 2026-1 LLC CLO – Class A-1</w:t>
            </w:r>
            <w:r>
              <w:rPr>
                <w:rFonts w:ascii="Times New Roman" w:hAnsi="Times New Roman"/>
                <w:color w:val="000000"/>
                <w:sz w:val="8"/>
              </w:rPr>
              <w:t>(2)</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JNTR 2026-1 LLC CLO – Class A-2</w:t>
            </w:r>
            <w:r>
              <w:rPr>
                <w:rFonts w:ascii="Times New Roman" w:hAnsi="Times New Roman"/>
                <w:color w:val="000000"/>
                <w:sz w:val="8"/>
              </w:rPr>
              <w:t>(2)</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JNTR 2026-1 LLC CLO – Class A-3</w:t>
            </w:r>
            <w:r>
              <w:rPr>
                <w:rFonts w:ascii="Times New Roman" w:hAnsi="Times New Roman"/>
                <w:color w:val="000000"/>
                <w:sz w:val="8"/>
              </w:rPr>
              <w:t>(2)</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JNTR 2026-1 LLC CLO – Subordinated A</w:t>
            </w:r>
            <w:r>
              <w:rPr>
                <w:rFonts w:ascii="Times New Roman" w:hAnsi="Times New Roman"/>
                <w:color w:val="000000"/>
                <w:sz w:val="8"/>
              </w:rPr>
              <w:t>(2)</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JNTR 2026-1 LLC CLO – Subordinated B</w:t>
            </w:r>
            <w:r>
              <w:rPr>
                <w:rFonts w:ascii="Times New Roman" w:hAnsi="Times New Roman"/>
                <w:color w:val="000000"/>
                <w:sz w:val="8"/>
              </w:rPr>
              <w:t>(2)</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Kleen-Tech Acquisition, LLC</w:t>
            </w:r>
            <w:r>
              <w:rPr>
                <w:rFonts w:ascii="Times New Roman" w:hAnsi="Times New Roman"/>
                <w:color w:val="000000"/>
                <w:sz w:val="8"/>
              </w:rPr>
              <w:t>(5)</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Northeast Metal Works LLC - Preferred</w:t>
            </w:r>
            <w:r>
              <w:rPr>
                <w:rFonts w:ascii="Times New Roman" w:hAnsi="Times New Roman"/>
                <w:color w:val="000000"/>
                <w:sz w:val="8"/>
              </w:rPr>
              <w:t>(5)</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Northeast Metal Works LLC - Class O Preferred</w:t>
            </w:r>
            <w:r>
              <w:rPr>
                <w:rFonts w:ascii="Times New Roman" w:hAnsi="Times New Roman"/>
                <w:color w:val="000000"/>
                <w:sz w:val="8"/>
              </w:rPr>
              <w:t>(5)</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01"/>
        <w:gridCol w:w="857"/>
        <w:gridCol w:w="839"/>
        <w:gridCol w:w="192"/>
        <w:gridCol w:w="506"/>
        <w:gridCol w:w="151"/>
        <w:gridCol w:w="223"/>
        <w:gridCol w:w="589"/>
        <w:gridCol w:w="151"/>
        <w:gridCol w:w="193"/>
        <w:gridCol w:w="438"/>
        <w:gridCol w:w="146"/>
        <w:gridCol w:w="202"/>
        <w:gridCol w:w="513"/>
        <w:gridCol w:w="151"/>
        <w:gridCol w:w="182"/>
        <w:gridCol w:w="380"/>
        <w:gridCol w:w="151"/>
        <w:gridCol w:w="178"/>
        <w:gridCol w:w="534"/>
        <w:gridCol w:w="151"/>
        <w:gridCol w:w="177"/>
        <w:gridCol w:w="689"/>
        <w:gridCol w:w="146"/>
        <w:gridCol w:w="172"/>
        <w:gridCol w:w="391"/>
        <w:gridCol w:w="146"/>
        <w:gridCol w:w="170"/>
        <w:gridCol w:w="386"/>
        <w:gridCol w:w="200"/>
      </w:tblGrid>
      <w:tr>
        <w:trPr/>
        <w:tc>
          <w:tcPr>
            <w:tcW w:w="100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(1)</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br/>
              <w:t>Classification</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br/>
              <w:t>as of December 31, 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Purchases/</w:t>
              <w:br/>
              <w:t>(Sales) of or</w:t>
              <w:br/>
              <w:t>Advances/</w:t>
              <w:br/>
              <w:t>(Distributions)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w:t>
              <w:br/>
              <w:t>Accretion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Change in Unrealized</w:t>
              <w:b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w:t>
              <w:b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 as of June 30,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 Shares at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and Fee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Dividend</w:t>
              <w:br/>
              <w:t>Income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Phoenix Aviation Capital, LLC</w:t>
            </w:r>
            <w:r>
              <w:rPr>
                <w:rFonts w:ascii="Times New Roman" w:hAnsi="Times New Roman"/>
                <w:color w:val="000000"/>
                <w:sz w:val="8"/>
              </w:rPr>
              <w:t>(5)</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1,305,594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Phoenix Aviation Capital, LLC</w:t>
            </w:r>
            <w:r>
              <w:rPr>
                <w:rFonts w:ascii="Times New Roman" w:hAnsi="Times New Roman"/>
                <w:color w:val="000000"/>
                <w:sz w:val="8"/>
              </w:rPr>
              <w:t>(5)</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Princeton Medspa Partners, LLC</w:t>
            </w:r>
            <w:r>
              <w:rPr>
                <w:rFonts w:ascii="Times New Roman" w:hAnsi="Times New Roman"/>
                <w:color w:val="000000"/>
                <w:sz w:val="8"/>
              </w:rPr>
              <w:t>(5)</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Princeton Medspa Partners, LLC - Warrant</w:t>
            </w:r>
            <w:r>
              <w:rPr>
                <w:rFonts w:ascii="Times New Roman" w:hAnsi="Times New Roman"/>
                <w:color w:val="000000"/>
                <w:sz w:val="8"/>
              </w:rPr>
              <w:t>(5)</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Princeton Medspa Partners, LLC - Put Option</w:t>
            </w:r>
            <w:r>
              <w:rPr>
                <w:rFonts w:ascii="Times New Roman" w:hAnsi="Times New Roman"/>
                <w:color w:val="000000"/>
                <w:sz w:val="8"/>
              </w:rPr>
              <w:t>(2)(5)</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Derivatives</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PMP OPCO, LLC (Princeton Medspa Partners, LLC)</w:t>
            </w:r>
            <w:r>
              <w:rPr>
                <w:rFonts w:ascii="Times New Roman" w:hAnsi="Times New Roman"/>
                <w:color w:val="000000"/>
                <w:sz w:val="8"/>
              </w:rPr>
              <w:t>(7)</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PMP OPCO, LLC (Princeton Medspa Partners, LLC) (Revolver)</w:t>
            </w:r>
            <w:r>
              <w:rPr>
                <w:rFonts w:ascii="Times New Roman" w:hAnsi="Times New Roman"/>
                <w:color w:val="000000"/>
                <w:sz w:val="8"/>
              </w:rPr>
              <w:t>(7)</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JMP Credit Advisors CLO IV LTD</w:t>
            </w:r>
            <w:r>
              <w:rPr>
                <w:rFonts w:ascii="Times New Roman" w:hAnsi="Times New Roman"/>
                <w:color w:val="000000"/>
                <w:sz w:val="8"/>
              </w:rPr>
              <w:t>(2)(3)</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JMP Credit Advisors CLO V LTD</w:t>
            </w:r>
            <w:r>
              <w:rPr>
                <w:rFonts w:ascii="Times New Roman" w:hAnsi="Times New Roman"/>
                <w:color w:val="000000"/>
                <w:sz w:val="8"/>
              </w:rPr>
              <w:t>(2)(3)</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EBSC Holdings LLC (Riddell, Inc.)</w:t>
            </w:r>
            <w:r>
              <w:rPr>
                <w:rFonts w:ascii="Times New Roman" w:hAnsi="Times New Roman"/>
                <w:color w:val="000000"/>
                <w:sz w:val="8"/>
              </w:rPr>
              <w:t>(5)</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Inc.</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Riddell Sports Enterprises LLC</w:t>
            </w:r>
            <w:r>
              <w:rPr>
                <w:rFonts w:ascii="Times New Roman" w:hAnsi="Times New Roman"/>
                <w:color w:val="000000"/>
                <w:sz w:val="8"/>
              </w:rPr>
              <w:t>(5)</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Riddell Sports Enterprises LLC</w:t>
            </w:r>
            <w:r>
              <w:rPr>
                <w:rFonts w:ascii="Times New Roman" w:hAnsi="Times New Roman"/>
                <w:color w:val="000000"/>
                <w:sz w:val="8"/>
              </w:rPr>
              <w:t>(5)</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Westshore RAM, LLC - Class A</w:t>
            </w:r>
            <w:r>
              <w:rPr>
                <w:rFonts w:ascii="Times New Roman" w:hAnsi="Times New Roman"/>
                <w:color w:val="000000"/>
                <w:sz w:val="8"/>
              </w:rPr>
              <w:t>(5)</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Sierra Hamilton Holdings Corporation</w:t>
            </w:r>
            <w:r>
              <w:rPr>
                <w:rFonts w:ascii="Times New Roman" w:hAnsi="Times New Roman"/>
                <w:color w:val="000000"/>
                <w:sz w:val="8"/>
              </w:rPr>
              <w:t>(5)</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Energy Equipment &amp; Services</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non-controlled affiliated investments</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6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Total non-controlled affiliated and controlled investments</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106,376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All investments valued using unobservable inputs (Level III), unless otherwise noted.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Non-qualified asset for purposes of section 55(a) of the 1940 Act.</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rFonts w:ascii="Times New Roman" w:hAnsi="Times New Roman"/>
          <w:sz w:val="16"/>
        </w:rPr>
      </w:pPr>
      <w:r>
        <w:rPr>
          <w:rFonts w:ascii="Times New Roman" w:hAnsi="Times New Roman"/>
          <w:color w:val="000000"/>
          <w:sz w:val="14"/>
        </w:rPr>
        <w:t>Under the 1940 Act, the Company is deemed to be an “Affiliated Person” of, as defined in the 1940 Act, this portfolio company as the Company owns at least 5% of the portfolio company’s outstanding voting securities or is under common control with such portfolio company.</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Number of shares held.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investment is valued at the net asset value of the underlying fund.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(7)</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Security has an unfunded commitment in addition to the amounts shown in the consolidated schedule of investments. See Note 8 — “Commitments and Contingencies” for additional information on the Company’s commitments and contingencies.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details investments in affiliates as of December 31, 2025 (dollars in thousands, except share amounts):</w:t>
      </w:r>
    </w:p>
    <w:p>
      <w:pPr>
        <w:pStyle w:val="TextBody"/>
        <w:bidi w:val="0"/>
        <w:spacing w:before="120" w:after="283"/>
        <w:jc w:val="left"/>
        <w:rPr/>
      </w:pPr>
      <w:r>
        <w:rPr/>
        <w:t> </w:t>
      </w:r>
    </w:p>
    <w:tbl>
      <w:tblPr>
        <w:tblW w:w="10847" w:type="dxa"/>
        <w:jc w:val="left"/>
        <w:tblInd w:w="0" w:type="dxa"/>
        <w:tblLayout w:type="fixed"/>
        <w:tblCellMar>
          <w:top w:w="28" w:type="dxa"/>
          <w:left w:w="28" w:type="dxa"/>
          <w:bottom w:w="28" w:type="dxa"/>
          <w:right w:w="28" w:type="dxa"/>
        </w:tblCellMar>
      </w:tblPr>
      <w:tblGrid>
        <w:gridCol w:w="871"/>
        <w:gridCol w:w="796"/>
        <w:gridCol w:w="1081"/>
        <w:gridCol w:w="182"/>
        <w:gridCol w:w="479"/>
        <w:gridCol w:w="151"/>
        <w:gridCol w:w="229"/>
        <w:gridCol w:w="582"/>
        <w:gridCol w:w="151"/>
        <w:gridCol w:w="193"/>
        <w:gridCol w:w="438"/>
        <w:gridCol w:w="146"/>
        <w:gridCol w:w="166"/>
        <w:gridCol w:w="481"/>
        <w:gridCol w:w="151"/>
        <w:gridCol w:w="191"/>
        <w:gridCol w:w="485"/>
        <w:gridCol w:w="151"/>
        <w:gridCol w:w="166"/>
        <w:gridCol w:w="421"/>
        <w:gridCol w:w="151"/>
        <w:gridCol w:w="182"/>
        <w:gridCol w:w="479"/>
        <w:gridCol w:w="151"/>
        <w:gridCol w:w="146"/>
        <w:gridCol w:w="646"/>
        <w:gridCol w:w="146"/>
        <w:gridCol w:w="166"/>
        <w:gridCol w:w="376"/>
        <w:gridCol w:w="146"/>
        <w:gridCol w:w="170"/>
        <w:gridCol w:w="386"/>
        <w:gridCol w:w="191"/>
      </w:tblGrid>
      <w:tr>
        <w:trPr/>
        <w:tc>
          <w:tcPr>
            <w:tcW w:w="87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(1)</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br/>
              <w:t>Classification</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br/>
              <w:t>as of December 31, 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Purchases/</w:t>
              <w:br/>
              <w:t>(Sales) of or</w:t>
              <w:br/>
              <w:t>Advances/</w:t>
              <w:br/>
              <w:t>(Distributions)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w:t>
              <w:br/>
              <w:t>Accretion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Transfers</w:t>
              <w:br/>
              <w:t>In/(Out)</w:t>
              <w:br/>
              <w:t>of</w:t>
              <w:br/>
              <w:t>Affiliates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Change in Unrealized</w:t>
              <w:b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 Gain/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br/>
              <w:t>as of December 31, 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 Shares at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and Fee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Dividend</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i/>
                <w:color w:val="000000"/>
                <w:sz w:val="12"/>
              </w:rPr>
              <w:t>Controlled investments</w:t>
            </w:r>
            <w:r>
              <w:rPr>
                <w:rFonts w:ascii="Times New Roman" w:hAnsi="Times New Roman"/>
                <w:b/>
                <w:i/>
                <w:color w:val="000000"/>
                <w:sz w:val="8"/>
              </w:rPr>
              <w:t>(3)</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Asset Management Company</w:t>
            </w:r>
            <w:r>
              <w:rPr>
                <w:rFonts w:ascii="Times New Roman" w:hAnsi="Times New Roman"/>
                <w:color w:val="000000"/>
                <w:sz w:val="8"/>
              </w:rPr>
              <w:t>(2)</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Manager Affiliates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Asset Management Company</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ProAir Holdco,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Trading Companies &amp; Distributors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ProAir, LLC</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Subordinated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Trading Companies &amp; Distributors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KCAP Freedom 3, LLC</w:t>
            </w:r>
            <w:r>
              <w:rPr>
                <w:rFonts w:ascii="Times New Roman" w:hAnsi="Times New Roman"/>
                <w:color w:val="000000"/>
                <w:sz w:val="8"/>
              </w:rPr>
              <w:t>(2)</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Controlled investments</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i/>
                <w:color w:val="000000"/>
                <w:sz w:val="12"/>
              </w:rPr>
              <w:t>Non-controlled affiliated investments</w:t>
            </w:r>
            <w:r>
              <w:rPr>
                <w:rFonts w:ascii="Times New Roman" w:hAnsi="Times New Roman"/>
                <w:b/>
                <w:i/>
                <w:color w:val="000000"/>
                <w:sz w:val="8"/>
              </w:rPr>
              <w:t>(4)</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American Clinical Solutions,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20,964,483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Series A-Great Lakes Funding II LLC</w:t>
            </w:r>
            <w:r>
              <w:rPr>
                <w:rFonts w:ascii="Times New Roman" w:hAnsi="Times New Roman"/>
                <w:color w:val="000000"/>
                <w:sz w:val="8"/>
              </w:rPr>
              <w:t>(2)(6)</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41,138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(37,081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Series B-Great Lakes Funding II LLC</w:t>
            </w:r>
            <w:r>
              <w:rPr>
                <w:rFonts w:ascii="Times New Roman" w:hAnsi="Times New Roman"/>
                <w:color w:val="000000"/>
                <w:sz w:val="8"/>
              </w:rPr>
              <w:t>(2)(6)(7)</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Joint Venture</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Burgaflex Holdings, LLC</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Burgaflex Holdings,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Components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GreenPark Infrastructure, LLC - Series A</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GreenPark Infrastructure, LLC - Series M-1</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Kleen-Tech Acquisition, LLC</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Commercial Services &amp; Supplies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Northeast Metal Works LLC - Preferred</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Northeast Metal Works LLC - Class O Preferred</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Northeast Metal Works LLC</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Metals &amp; Mining</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BMP Slappey Holdco,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Telecommunication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BMP Slappey Investment II</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Telecommunication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 Care Providers &amp;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Phoenix Aviation Capital,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Phoenix Aviation Capital, LLC</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1,281,657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Phoenix Aviation Capital, LLC</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Princeton Medspa Partners, LLC</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1,202,973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Princeton Medspa Partners, LLC - Warrant</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Princeton Medspa Partners, LLC - Put Option</w:t>
            </w:r>
            <w:r>
              <w:rPr>
                <w:rFonts w:ascii="Times New Roman" w:hAnsi="Times New Roman"/>
                <w:color w:val="000000"/>
                <w:sz w:val="8"/>
              </w:rPr>
              <w:t>(2)(5)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Derivatives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PMP OPCO, LLC (Princeton Medspa Partners, LLC)</w:t>
            </w:r>
            <w:r>
              <w:rPr>
                <w:rFonts w:ascii="Times New Roman" w:hAnsi="Times New Roman"/>
                <w:color w:val="000000"/>
                <w:sz w:val="8"/>
              </w:rPr>
              <w:t>(7)</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PMP OPCO, LLC (Princeton Medspa Partners, LLC) (Revolver)</w:t>
            </w:r>
            <w:r>
              <w:rPr>
                <w:rFonts w:ascii="Times New Roman" w:hAnsi="Times New Roman"/>
                <w:color w:val="000000"/>
                <w:sz w:val="8"/>
              </w:rPr>
              <w:t>(7)</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Diversified Consumer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JMP Credit Advisors CLO IV LTD</w:t>
            </w:r>
            <w:r>
              <w:rPr>
                <w:rFonts w:ascii="Times New Roman" w:hAnsi="Times New Roman"/>
                <w:color w:val="000000"/>
                <w:sz w:val="8"/>
              </w:rPr>
              <w:t>(2)(3)</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JMP Credit Advisors CLO V LTD</w:t>
            </w:r>
            <w:r>
              <w:rPr>
                <w:rFonts w:ascii="Times New Roman" w:hAnsi="Times New Roman"/>
                <w:color w:val="000000"/>
                <w:sz w:val="8"/>
              </w:rPr>
              <w:t>(2)(3)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Collateralized Loan Obligations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CLO Fund Securities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EBSC Holdings LLC (Riddell, Inc.)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Inc.</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Lien/Senior Secured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Leisure Products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Westshore RAM, LLC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and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Sierra Hamilton Holdings Corporation</w:t>
            </w:r>
            <w:r>
              <w:rPr>
                <w:rFonts w:ascii="Times New Roman" w:hAnsi="Times New Roman"/>
                <w:color w:val="000000"/>
                <w:sz w:val="8"/>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Energy Equipment &amp; Services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V12 Holdings, Inc.</w:t>
            </w:r>
            <w:r>
              <w:rPr>
                <w:rFonts w:ascii="Times New Roman" w:hAnsi="Times New Roman"/>
                <w:color w:val="000000"/>
                <w:sz w:val="8"/>
              </w:rPr>
              <w:t>(5)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and Membership Units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Lien/Senior Secured Debt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Software</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non-controlled affiliated investments</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Total non-controlled affiliated and controlled investments</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77,399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91,240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All investments valued using unobservable inputs (Level III), unless otherwise noted.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Non-qualified asset for purposes of section 55(a) of the 1940 Act.</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 xml:space="preserve">Under the 1940 Act, the Company is deemed to be an “Affiliated Person” of, as defined in the 1940 Act, this portfolio company as the Company owns at least 5% of the portfolio company’s outstanding voting securities or is under common control with such portfolio company.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Number of shares held.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investment is valued at the net asset value of the underlying fund.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(7)</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Security has an unfunded commitment in addition to the amounts shown in the consolidated schedule of investments. See Note 8 — “Commitments and Contingencies” for additional information on the Company’s commitments and contingencies.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Investments in Joint Ventures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three months ended June 30, 2026 and 2025, the Company recognized $1.3 million and $1.2 million, respectively, in investment income from its investments in Joint Ventures. For the six months ended June 30, 2026 and 2025, the Company recognized $2.4 million and $2.6 million, respectively, in investment income from its investments in Joint Ventures. As of June 30, 2026 and December 31, 2025, the aggregate fair value of the Company’s investments in Joint Ventures was approximately $44.8 million and $48.2 million, respectively.</w:t>
      </w:r>
    </w:p>
    <w:p>
      <w:pPr>
        <w:pStyle w:val="TextBody"/>
        <w:bidi w:val="0"/>
        <w:spacing w:before="240" w:after="283"/>
        <w:jc w:val="both"/>
        <w:rPr>
          <w:rFonts w:ascii="Times New Roman" w:hAnsi="Times New Roman"/>
          <w:sz w:val="16"/>
        </w:rPr>
      </w:pPr>
      <w:r>
        <w:rPr>
          <w:rFonts w:ascii="Times New Roman" w:hAnsi="Times New Roman"/>
          <w:b/>
          <w:color w:val="000000"/>
          <w:sz w:val="16"/>
        </w:rPr>
        <w:t>KCAP Freedom 3 LLC</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third quarter of 2017, the Company and Freedom 3 Opportunities LLC (“Freedom 3 Opportunities”), an affiliate of Freedom 3 Capital LLC, entered into an agreement to create KCAP Freedom 3 LLC (the “F3C Joint Venture”). The fund capitalized by the F3C Joint Venture invests primarily in middle-market loans and the F3C Joint Venture partners may source middle-market loans from time-to-time for such fund.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owns a 62.8% equity investment in the F3C Joint Venture. The F3C Joint Venture is structured as an unconsolidated Delaware limited liability company. All portfolio and other material decisions regarding the F3C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F3C Joint Venture’s investment committee, which is comprised of one member appointed by the Company and one member appointed by Freedom 3 Opportunities.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determined that the F3C Joint Venture is an investment company under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F3C Joint Venture because the Company does not control the F3C Joint Venture due to allocation of the voting rights among the F3C Joint Venture partners.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fair value of the Company’s investment in the F3C Joint Venture as of June 30, 2026 and December 31, 2025 was $7.1 million and $10.7 million, respectively.</w:t>
      </w:r>
    </w:p>
    <w:p>
      <w:pPr>
        <w:pStyle w:val="TextBody"/>
        <w:bidi w:val="0"/>
        <w:spacing w:before="240" w:after="283"/>
        <w:jc w:val="both"/>
        <w:rPr>
          <w:rFonts w:ascii="Times New Roman" w:hAnsi="Times New Roman"/>
          <w:sz w:val="16"/>
        </w:rPr>
      </w:pPr>
      <w:r>
        <w:rPr>
          <w:rFonts w:ascii="Times New Roman" w:hAnsi="Times New Roman"/>
          <w:b/>
          <w:color w:val="000000"/>
          <w:sz w:val="16"/>
        </w:rPr>
        <w:t>Great Lakes Funding II LLC</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August 2022, the Company invested in Series A (“Series A”) of Great Lakes Funding II LLC (the “Great Lakes II Joint Venture,” collectively with the F3C Joint Venture the, “Joint Ventures”), a joint venture with a third-party financial institution and certain other parties with an investment strategy to underwrite and hold senior, secured unitranche loans made to middle-market companies. The Company treats its investment in the Great Lakes II Joint Venture as a joint venture since affiliated funds of the Adviser collectively control a 50% voting interest in the Great Lakes II Joint Venture through a board of managers.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Great Lakes II Joint Venture is a Delaware series limited liability company. Pursuant to the terms of the limited liability company agreement of the Great Lakes II Joint Venture dated as of July 29, 2022 (as amended, restated, supplemented, or otherwise modified from time to time, the “Great Lakes II LLC Agreement”), prior to the end of the investment period with respect to each series established under the Great Lakes II LLC Agreement, each member of the predecessor series may be offered the opportunity to roll its interests into any subsequent series of the Great Lakes II Joint Venture. The Company does not pay any investment advisory fees in connection with its investment in the Great Lakes II Joint Venture.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August 1, 2025, pursuant to the Great Lakes II LLC Agreement, the Company elected to participate in a rollover transaction from Series A of Great Lakes II Joint Venture to Series B (“Series B”) of Great Lakes II Joint Venture. As part of the transaction, the portion of the Company’s remaining unfunded commitment in Series A became the Company’s remaining unfunded commitment in Series B, thus reducing the Company’s remaining unfunded commitment in Series A to zero. In connection with the rollover transaction, Series A transferred to Series B a pro rata portion of the underlying portfolio assets held by Series A that corresponded to the interest of the members of Series A who elected to participate in the transaction in addition to a pro rata portion of the principal outstanding under Great Lakes II Joint Venture’s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fair value of the Company’s investment in the Great Lakes II Joint Venture as of June 30, 2026 was $37.8 million and as of December 31, 2025 was $37.5 million. Fair value has been determined utilizing the practical expedient pursuant to ASC 820-10.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June 30, 2026 and December 31, 2025, the Company had an unfunded commitment to Series B of $10.3 million and $12.6 million, respectively.</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Fair Value Measurements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 follows the provisions of ASC 820,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defines “fair value” as the price that would be received to sell an asset or paid to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ASC 820 establishes the following three-level hierarchy, based upon the transparency of inputs to the fair value measurement of an asset or liability as of the measurement date: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Level I – Unadjusted quoted prices are available in active markets for identical investments as of the reporting date. The type of investments included in Level I include listed equities and listed securities. As required by ASC 820, the Company does not adjust the quoted price for these investments, even in situations where the Company holds a large position and a sale could reasonably affect the quoted price.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following tables summarize the fair value of investments by fair value hierarchy levels provided by ASC 820 as of June 30, 2026 (unaudited) and December 31, 2025, respectively: </w:t>
      </w:r>
    </w:p>
    <w:tbl>
      <w:tblPr>
        <w:tblW w:w="7647" w:type="dxa"/>
        <w:jc w:val="left"/>
        <w:tblInd w:w="0" w:type="dxa"/>
        <w:tblLayout w:type="fixed"/>
        <w:tblCellMar>
          <w:top w:w="28" w:type="dxa"/>
          <w:left w:w="28" w:type="dxa"/>
          <w:bottom w:w="28" w:type="dxa"/>
          <w:right w:w="28" w:type="dxa"/>
        </w:tblCellMar>
      </w:tblPr>
      <w:tblGrid>
        <w:gridCol w:w="2311"/>
        <w:gridCol w:w="146"/>
        <w:gridCol w:w="217"/>
        <w:gridCol w:w="383"/>
        <w:gridCol w:w="146"/>
        <w:gridCol w:w="146"/>
        <w:gridCol w:w="239"/>
        <w:gridCol w:w="421"/>
        <w:gridCol w:w="146"/>
        <w:gridCol w:w="146"/>
        <w:gridCol w:w="196"/>
        <w:gridCol w:w="691"/>
        <w:gridCol w:w="146"/>
        <w:gridCol w:w="146"/>
        <w:gridCol w:w="196"/>
        <w:gridCol w:w="601"/>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452,741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7647" w:type="dxa"/>
        <w:jc w:val="left"/>
        <w:tblInd w:w="0" w:type="dxa"/>
        <w:tblLayout w:type="fixed"/>
        <w:tblCellMar>
          <w:top w:w="28" w:type="dxa"/>
          <w:left w:w="28" w:type="dxa"/>
          <w:bottom w:w="28" w:type="dxa"/>
          <w:right w:w="28" w:type="dxa"/>
        </w:tblCellMar>
      </w:tblPr>
      <w:tblGrid>
        <w:gridCol w:w="2311"/>
        <w:gridCol w:w="146"/>
        <w:gridCol w:w="217"/>
        <w:gridCol w:w="383"/>
        <w:gridCol w:w="146"/>
        <w:gridCol w:w="146"/>
        <w:gridCol w:w="239"/>
        <w:gridCol w:w="421"/>
        <w:gridCol w:w="146"/>
        <w:gridCol w:w="146"/>
        <w:gridCol w:w="196"/>
        <w:gridCol w:w="691"/>
        <w:gridCol w:w="146"/>
        <w:gridCol w:w="146"/>
        <w:gridCol w:w="196"/>
        <w:gridCol w:w="601"/>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third-party pricing service are generally deemed to be Level III values.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fair value of the Company’s investment in Series B as of June 30, 2026 and December 31, 2025 was $37.8 million and $37.5 million, respectively. Fair value has been determined utilizing the practical expedient pursuant to ASC 820-10.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422"/>
        <w:gridCol w:w="199"/>
        <w:gridCol w:w="703"/>
        <w:gridCol w:w="166"/>
        <w:gridCol w:w="202"/>
        <w:gridCol w:w="622"/>
        <w:gridCol w:w="166"/>
        <w:gridCol w:w="269"/>
        <w:gridCol w:w="830"/>
        <w:gridCol w:w="166"/>
        <w:gridCol w:w="196"/>
        <w:gridCol w:w="601"/>
        <w:gridCol w:w="166"/>
        <w:gridCol w:w="291"/>
        <w:gridCol w:w="898"/>
        <w:gridCol w:w="166"/>
        <w:gridCol w:w="196"/>
        <w:gridCol w:w="601"/>
        <w:gridCol w:w="166"/>
        <w:gridCol w:w="319"/>
        <w:gridCol w:w="612"/>
        <w:gridCol w:w="146"/>
        <w:gridCol w:w="196"/>
        <w:gridCol w:w="691"/>
        <w:gridCol w:w="215"/>
      </w:tblGrid>
      <w:tr>
        <w:trPr/>
        <w:tc>
          <w:tcPr>
            <w:tcW w:w="14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8"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Joint </w:t>
              <w:br/>
              <w:t>Ventures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463,465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accretion of interest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 PIK capitalization / originations / draws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36,783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Sales/paydowns/return of capital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(63,096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Restructurings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414,958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unrealized gains (losses) included in earnings related to investments still held at reporting date</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(25,166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87"/>
        <w:gridCol w:w="199"/>
        <w:gridCol w:w="704"/>
        <w:gridCol w:w="166"/>
        <w:gridCol w:w="203"/>
        <w:gridCol w:w="624"/>
        <w:gridCol w:w="166"/>
        <w:gridCol w:w="281"/>
        <w:gridCol w:w="820"/>
        <w:gridCol w:w="166"/>
        <w:gridCol w:w="196"/>
        <w:gridCol w:w="601"/>
        <w:gridCol w:w="166"/>
        <w:gridCol w:w="305"/>
        <w:gridCol w:w="892"/>
        <w:gridCol w:w="166"/>
        <w:gridCol w:w="196"/>
        <w:gridCol w:w="601"/>
        <w:gridCol w:w="166"/>
        <w:gridCol w:w="319"/>
        <w:gridCol w:w="612"/>
        <w:gridCol w:w="166"/>
        <w:gridCol w:w="196"/>
        <w:gridCol w:w="691"/>
        <w:gridCol w:w="216"/>
      </w:tblGrid>
      <w:tr>
        <w:trPr/>
        <w:tc>
          <w:tcPr>
            <w:tcW w:w="138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3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2"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Joint </w:t>
              <w:br/>
              <w:t>Ventures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363,883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accretion of interest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 PIK capitalization / originations / draws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34,552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Sales/paydowns/return of capital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(27,223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realized gain (loss) included in earnings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 (loss) included in earnings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361,757</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unrealized gains (losses) included in earnings related to investments still held at reporting date</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(20,119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As of June 30, 2026, the Company’s Level III portfolio investments had the following valuation techniques and significant inputs (dollars in thousands):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187"/>
        <w:gridCol w:w="146"/>
        <w:gridCol w:w="181"/>
        <w:gridCol w:w="601"/>
        <w:gridCol w:w="146"/>
        <w:gridCol w:w="146"/>
        <w:gridCol w:w="2079"/>
        <w:gridCol w:w="146"/>
        <w:gridCol w:w="1745"/>
        <w:gridCol w:w="146"/>
        <w:gridCol w:w="2682"/>
      </w:tblGrid>
      <w:tr>
        <w:trPr/>
        <w:tc>
          <w:tcPr>
            <w:tcW w:w="2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r>
      <w:tr>
        <w:trPr/>
        <w:tc>
          <w:tcPr>
            <w:tcW w:w="2187"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sans-serif" w:hAnsi="sans-serif"/>
                <w:b/>
                <w:color w:val="000000"/>
                <w:sz w:val="12"/>
              </w:rPr>
            </w:pPr>
            <w:r>
              <w:rPr>
                <w:rFonts w:ascii="sans-serif" w:hAnsi="sans-serif"/>
                <w:b/>
                <w:color w:val="000000"/>
                <w:sz w:val="12"/>
              </w:rPr>
              <w:t>Type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2"/>
              </w:rPr>
            </w:pPr>
            <w:r>
              <w:rPr>
                <w:rFonts w:ascii="sans-serif" w:hAnsi="sans-serif"/>
                <w:b/>
                <w:color w:val="000000"/>
                <w:sz w:val="12"/>
              </w:rPr>
              <w:t>Fair Value</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079"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sans-serif" w:hAnsi="sans-serif"/>
                <w:b/>
                <w:color w:val="000000"/>
                <w:sz w:val="12"/>
              </w:rPr>
            </w:pPr>
            <w:r>
              <w:rPr>
                <w:rFonts w:ascii="sans-serif" w:hAnsi="sans-serif"/>
                <w:b/>
                <w:color w:val="000000"/>
                <w:sz w:val="12"/>
              </w:rPr>
              <w:t>Primary Valuation Techniques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4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sans-serif" w:hAnsi="sans-serif"/>
                <w:b/>
                <w:color w:val="000000"/>
                <w:sz w:val="12"/>
              </w:rPr>
            </w:pPr>
            <w:r>
              <w:rPr>
                <w:rFonts w:ascii="sans-serif" w:hAnsi="sans-serif"/>
                <w:b/>
                <w:color w:val="000000"/>
                <w:sz w:val="12"/>
              </w:rPr>
              <w:t>Unobservable Inputs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68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sz w:val="12"/>
              </w:rPr>
            </w:pPr>
            <w:r>
              <w:rPr>
                <w:rFonts w:ascii="sans-serif" w:hAnsi="sans-serif"/>
                <w:b/>
                <w:color w:val="000000"/>
                <w:sz w:val="12"/>
              </w:rPr>
              <w:t>Range of Inputs (Weighted Average)</w:t>
            </w:r>
            <w:r>
              <w:rPr>
                <w:rFonts w:ascii="sans-serif" w:hAnsi="sans-serif"/>
                <w:b/>
                <w:color w:val="000000"/>
                <w:sz w:val="8"/>
              </w:rPr>
              <w:t>(1)</w:t>
            </w:r>
          </w:p>
        </w:tc>
      </w:tr>
      <w:tr>
        <w:trPr/>
        <w:tc>
          <w:tcPr>
            <w:tcW w:w="2187"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sans-serif" w:hAnsi="sans-serif"/>
                <w:b/>
                <w:color w:val="000000"/>
                <w:sz w:val="12"/>
              </w:rPr>
            </w:pPr>
            <w:r>
              <w:rPr>
                <w:rFonts w:ascii="sans-serif" w:hAnsi="sans-serif"/>
                <w:b/>
                <w:color w:val="000000"/>
                <w:sz w:val="12"/>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29,055</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Market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Broker/Dealer Quotes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N/A</w:t>
            </w:r>
          </w:p>
        </w:tc>
      </w:tr>
      <w:tr>
        <w:trPr/>
        <w:tc>
          <w:tcPr>
            <w:tcW w:w="218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199,284</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079"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Income Approach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Required Rate of Return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5.1% – 20.4% (11.8%)</w:t>
            </w:r>
          </w:p>
        </w:tc>
      </w:tr>
      <w:tr>
        <w:trPr/>
        <w:tc>
          <w:tcPr>
            <w:tcW w:w="2187"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58,771</w:t>
            </w:r>
          </w:p>
        </w:tc>
        <w:tc>
          <w:tcPr>
            <w:tcW w:w="146" w:type="dxa"/>
            <w:tcBorders>
              <w:top w:val="single" w:sz="4" w:space="0" w:color="000000"/>
              <w:right w:val="single" w:sz="4" w:space="0" w:color="000000"/>
            </w:tcBorders>
            <w:shd w:fill="CFF0FC" w:val="clear"/>
            <w:tcMar>
              <w:left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079" w:type="dxa"/>
            <w:tcBorders>
              <w:top w:val="single" w:sz="4" w:space="0" w:color="000000"/>
              <w:right w:val="single" w:sz="4" w:space="0" w:color="000000"/>
            </w:tcBorders>
            <w:shd w:fill="CFF0FC" w:val="clear"/>
            <w:tcMar>
              <w:left w:w="0" w:type="dxa"/>
              <w:bottom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Revenue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0.3x - 0.5x (0.4x)</w:t>
            </w:r>
          </w:p>
        </w:tc>
      </w:tr>
      <w:tr>
        <w:trPr/>
        <w:tc>
          <w:tcPr>
            <w:tcW w:w="218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EBITDA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4.0x - 10.3x (7.0x)</w:t>
            </w:r>
          </w:p>
        </w:tc>
      </w:tr>
      <w:tr>
        <w:trPr/>
        <w:tc>
          <w:tcPr>
            <w:tcW w:w="2187"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Recovery Percentage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0.9% - 100.0% (92.6%)</w:t>
            </w:r>
          </w:p>
        </w:tc>
      </w:tr>
      <w:tr>
        <w:trPr/>
        <w:tc>
          <w:tcPr>
            <w:tcW w:w="2187"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right"/>
              <w:rPr>
                <w:rFonts w:ascii="sans-serif" w:hAnsi="sans-serif"/>
                <w:b/>
                <w:color w:val="000000"/>
                <w:sz w:val="12"/>
              </w:rPr>
            </w:pPr>
            <w:r>
              <w:rPr>
                <w:rFonts w:ascii="sans-serif" w:hAnsi="sans-serif"/>
                <w:b/>
                <w:color w:val="000000"/>
                <w:sz w:val="12"/>
              </w:rPr>
              <w:t>Second Lien Debt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11,409</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079"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Market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Broker/Dealer Quotes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N/A</w:t>
            </w:r>
          </w:p>
        </w:tc>
      </w:tr>
      <w:tr>
        <w:trPr/>
        <w:tc>
          <w:tcPr>
            <w:tcW w:w="2187"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2,863</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EBITDA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7.3x</w:t>
            </w:r>
          </w:p>
        </w:tc>
      </w:tr>
      <w:tr>
        <w:trPr/>
        <w:tc>
          <w:tcPr>
            <w:tcW w:w="21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23,784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Income Approach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Required Rate of Return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16.7% - 22.5% (18.2%)</w:t>
            </w:r>
          </w:p>
        </w:tc>
      </w:tr>
      <w:tr>
        <w:trPr/>
        <w:tc>
          <w:tcPr>
            <w:tcW w:w="2187"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sans-serif" w:hAnsi="sans-serif"/>
                <w:b/>
                <w:color w:val="000000"/>
                <w:sz w:val="12"/>
              </w:rPr>
            </w:pPr>
            <w:r>
              <w:rPr>
                <w:rFonts w:ascii="sans-serif" w:hAnsi="sans-serif"/>
                <w:b/>
                <w:color w:val="000000"/>
                <w:sz w:val="12"/>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4,286</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Recovery Percentage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19.4%</w:t>
            </w:r>
          </w:p>
        </w:tc>
      </w:tr>
      <w:tr>
        <w:trPr/>
        <w:tc>
          <w:tcPr>
            <w:tcW w:w="218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EBITDA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4.3x</w:t>
            </w:r>
          </w:p>
        </w:tc>
      </w:tr>
      <w:tr>
        <w:trPr/>
        <w:tc>
          <w:tcPr>
            <w:tcW w:w="2187"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20,276</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Income Approach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Required Rate of Return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10.9% - 16.1% (11.1%)</w:t>
            </w:r>
          </w:p>
        </w:tc>
      </w:tr>
      <w:tr>
        <w:trPr/>
        <w:tc>
          <w:tcPr>
            <w:tcW w:w="218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rFonts w:ascii="sans-serif" w:hAnsi="sans-serif"/>
                <w:b/>
                <w:color w:val="000000"/>
                <w:sz w:val="12"/>
              </w:rPr>
            </w:pPr>
            <w:r>
              <w:rPr>
                <w:rFonts w:ascii="sans-serif" w:hAnsi="sans-serif"/>
                <w:b/>
                <w:color w:val="000000"/>
                <w:sz w:val="12"/>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5,576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Income Approach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Required Rate of Return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14.2% - 23.5% (18.8%)</w:t>
            </w:r>
          </w:p>
        </w:tc>
      </w:tr>
      <w:tr>
        <w:trPr/>
        <w:tc>
          <w:tcPr>
            <w:tcW w:w="2187"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Stock Price</w:t>
              <w:br/>
              <w:t>Time to Exit (Years)</w:t>
              <w:br/>
              <w:t>Volatility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sz w:val="16"/>
              </w:rPr>
            </w:pPr>
            <w:r>
              <w:rPr>
                <w:rFonts w:ascii="sans-serif" w:hAnsi="sans-serif"/>
                <w:color w:val="000000"/>
                <w:sz w:val="12"/>
              </w:rPr>
              <w:t>$0.6</w:t>
            </w:r>
            <w:r>
              <w:rPr>
                <w:rFonts w:ascii="Times New Roman" w:hAnsi="Times New Roman"/>
                <w:color w:val="000000"/>
                <w:sz w:val="16"/>
              </w:rPr>
              <w:t> </w:t>
            </w:r>
            <w:r>
              <w:rPr>
                <w:rFonts w:ascii="sans-serif" w:hAnsi="sans-serif"/>
                <w:color w:val="000000"/>
                <w:sz w:val="12"/>
              </w:rPr>
              <w:t>- $151.1</w:t>
            </w:r>
            <w:r>
              <w:rPr>
                <w:rFonts w:ascii="Times New Roman" w:hAnsi="Times New Roman"/>
                <w:color w:val="000000"/>
                <w:sz w:val="16"/>
              </w:rPr>
              <w:t> </w:t>
            </w:r>
            <w:r>
              <w:rPr>
                <w:rFonts w:ascii="sans-serif" w:hAnsi="sans-serif"/>
                <w:color w:val="000000"/>
                <w:sz w:val="12"/>
              </w:rPr>
              <w:t>($79.0)</w:t>
              <w:br/>
              <w:t>1.5</w:t>
            </w:r>
            <w:r>
              <w:rPr>
                <w:rFonts w:ascii="Times New Roman" w:hAnsi="Times New Roman"/>
                <w:color w:val="000000"/>
                <w:sz w:val="16"/>
              </w:rPr>
              <w:t> </w:t>
            </w:r>
            <w:r>
              <w:rPr>
                <w:rFonts w:ascii="sans-serif" w:hAnsi="sans-serif"/>
                <w:color w:val="000000"/>
                <w:sz w:val="12"/>
              </w:rPr>
              <w:t>- 3.4</w:t>
            </w:r>
            <w:r>
              <w:rPr>
                <w:rFonts w:ascii="Times New Roman" w:hAnsi="Times New Roman"/>
                <w:color w:val="000000"/>
                <w:sz w:val="16"/>
              </w:rPr>
              <w:t> </w:t>
            </w:r>
            <w:r>
              <w:rPr>
                <w:rFonts w:ascii="sans-serif" w:hAnsi="sans-serif"/>
                <w:color w:val="000000"/>
                <w:sz w:val="12"/>
              </w:rPr>
              <w:t>(2.4)</w:t>
              <w:br/>
              <w:t>30.0% - 58.9% (43.8%)</w:t>
            </w:r>
          </w:p>
        </w:tc>
      </w:tr>
      <w:tr>
        <w:trPr/>
        <w:tc>
          <w:tcPr>
            <w:tcW w:w="218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31,984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Enterprise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Book Value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0.9x - 1.8x (1.1x)</w:t>
            </w:r>
          </w:p>
        </w:tc>
      </w:tr>
      <w:tr>
        <w:trPr/>
        <w:tc>
          <w:tcPr>
            <w:tcW w:w="2187"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EBITDA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5.0x - 14.3x (8.0x)</w:t>
            </w:r>
          </w:p>
        </w:tc>
      </w:tr>
      <w:tr>
        <w:trPr/>
        <w:tc>
          <w:tcPr>
            <w:tcW w:w="218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Revenue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0.7x - 2.5x (1.8x)</w:t>
            </w:r>
          </w:p>
        </w:tc>
      </w:tr>
      <w:tr>
        <w:trPr/>
        <w:tc>
          <w:tcPr>
            <w:tcW w:w="2187"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Expected Takeout Price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sz w:val="16"/>
              </w:rPr>
            </w:pPr>
            <w:r>
              <w:rPr>
                <w:rFonts w:ascii="sans-serif" w:hAnsi="sans-serif"/>
                <w:color w:val="000000"/>
                <w:sz w:val="12"/>
              </w:rPr>
              <w:t>$0.0</w:t>
            </w:r>
            <w:r>
              <w:rPr>
                <w:rFonts w:ascii="Times New Roman" w:hAnsi="Times New Roman"/>
                <w:color w:val="000000"/>
                <w:sz w:val="16"/>
              </w:rPr>
              <w:t> </w:t>
            </w:r>
            <w:r>
              <w:rPr>
                <w:rFonts w:ascii="sans-serif" w:hAnsi="sans-serif"/>
                <w:color w:val="000000"/>
                <w:sz w:val="12"/>
              </w:rPr>
              <w:t>- $1.0</w:t>
            </w:r>
            <w:r>
              <w:rPr>
                <w:rFonts w:ascii="Times New Roman" w:hAnsi="Times New Roman"/>
                <w:color w:val="000000"/>
                <w:sz w:val="16"/>
              </w:rPr>
              <w:t> </w:t>
            </w:r>
            <w:r>
              <w:rPr>
                <w:rFonts w:ascii="sans-serif" w:hAnsi="sans-serif"/>
                <w:color w:val="000000"/>
                <w:sz w:val="12"/>
              </w:rPr>
              <w:t>($0.8)</w:t>
            </w:r>
          </w:p>
        </w:tc>
      </w:tr>
      <w:tr>
        <w:trPr/>
        <w:tc>
          <w:tcPr>
            <w:tcW w:w="218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EBITDA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6.3x</w:t>
            </w:r>
          </w:p>
        </w:tc>
      </w:tr>
      <w:tr>
        <w:trPr/>
        <w:tc>
          <w:tcPr>
            <w:tcW w:w="2187"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Multiple on Invested Capital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1.3x</w:t>
            </w:r>
          </w:p>
        </w:tc>
      </w:tr>
      <w:tr>
        <w:trPr/>
        <w:tc>
          <w:tcPr>
            <w:tcW w:w="218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4,851</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079"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Market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Option Purchase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$408.1</w:t>
            </w:r>
          </w:p>
        </w:tc>
      </w:tr>
      <w:tr>
        <w:trPr/>
        <w:tc>
          <w:tcPr>
            <w:tcW w:w="2187"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Recent Transaction Bid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sz w:val="16"/>
              </w:rPr>
            </w:pPr>
            <w:r>
              <w:rPr>
                <w:rFonts w:ascii="sans-serif" w:hAnsi="sans-serif"/>
                <w:color w:val="000000"/>
                <w:sz w:val="12"/>
              </w:rPr>
              <w:t>$1.0</w:t>
            </w:r>
            <w:r>
              <w:rPr>
                <w:rFonts w:ascii="Times New Roman" w:hAnsi="Times New Roman"/>
                <w:color w:val="000000"/>
                <w:sz w:val="16"/>
              </w:rPr>
              <w:t> </w:t>
            </w:r>
            <w:r>
              <w:rPr>
                <w:rFonts w:ascii="sans-serif" w:hAnsi="sans-serif"/>
                <w:color w:val="000000"/>
                <w:sz w:val="12"/>
              </w:rPr>
              <w:t>- $586.6</w:t>
            </w:r>
            <w:r>
              <w:rPr>
                <w:rFonts w:ascii="Times New Roman" w:hAnsi="Times New Roman"/>
                <w:color w:val="000000"/>
                <w:sz w:val="16"/>
              </w:rPr>
              <w:t> </w:t>
            </w:r>
            <w:r>
              <w:rPr>
                <w:rFonts w:ascii="sans-serif" w:hAnsi="sans-serif"/>
                <w:color w:val="000000"/>
                <w:sz w:val="12"/>
              </w:rPr>
              <w:t>($225.9)</w:t>
            </w:r>
          </w:p>
        </w:tc>
      </w:tr>
      <w:tr>
        <w:trPr/>
        <w:tc>
          <w:tcPr>
            <w:tcW w:w="218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rFonts w:ascii="sans-serif" w:hAnsi="sans-serif"/>
                <w:b/>
                <w:color w:val="000000"/>
                <w:sz w:val="12"/>
              </w:rPr>
            </w:pPr>
            <w:r>
              <w:rPr>
                <w:rFonts w:ascii="sans-serif" w:hAnsi="sans-serif"/>
                <w:b/>
                <w:color w:val="000000"/>
                <w:sz w:val="12"/>
              </w:rPr>
              <w:t>Collateralized Loan Obligations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296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Enterprise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Recovery 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0.0% - 1.2% (1.1%)</w:t>
            </w:r>
          </w:p>
        </w:tc>
      </w:tr>
      <w:tr>
        <w:trPr/>
        <w:tc>
          <w:tcPr>
            <w:tcW w:w="2187"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15,246</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Income Approach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Required Rate of Return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8.0% - 20.0% (10.9%)</w:t>
            </w:r>
          </w:p>
        </w:tc>
      </w:tr>
      <w:tr>
        <w:trPr/>
        <w:tc>
          <w:tcPr>
            <w:tcW w:w="218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rFonts w:ascii="sans-serif" w:hAnsi="sans-serif"/>
                <w:b/>
                <w:color w:val="000000"/>
                <w:sz w:val="12"/>
              </w:rPr>
            </w:pPr>
            <w:r>
              <w:rPr>
                <w:rFonts w:ascii="sans-serif" w:hAnsi="sans-serif"/>
                <w:b/>
                <w:color w:val="000000"/>
                <w:sz w:val="12"/>
              </w:rPr>
              <w:t>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7,050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Income Approach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16.1%</w:t>
            </w:r>
          </w:p>
        </w:tc>
      </w:tr>
      <w:tr>
        <w:trPr/>
        <w:tc>
          <w:tcPr>
            <w:tcW w:w="2187"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Probability of Default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4.5%</w:t>
            </w:r>
          </w:p>
        </w:tc>
      </w:tr>
      <w:tr>
        <w:trPr/>
        <w:tc>
          <w:tcPr>
            <w:tcW w:w="218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Recovery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70.0%</w:t>
            </w:r>
          </w:p>
        </w:tc>
      </w:tr>
      <w:tr>
        <w:trPr/>
        <w:tc>
          <w:tcPr>
            <w:tcW w:w="2187"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Prepayment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20.0%</w:t>
            </w:r>
          </w:p>
        </w:tc>
      </w:tr>
      <w:tr>
        <w:trPr/>
        <w:tc>
          <w:tcPr>
            <w:tcW w:w="218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rFonts w:ascii="sans-serif" w:hAnsi="sans-serif"/>
                <w:b/>
                <w:color w:val="000000"/>
                <w:sz w:val="12"/>
              </w:rPr>
            </w:pPr>
            <w:r>
              <w:rPr>
                <w:rFonts w:ascii="sans-serif" w:hAnsi="sans-serif"/>
                <w:b/>
                <w:color w:val="000000"/>
                <w:sz w:val="12"/>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227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Enterprise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Book Value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0.9x</w:t>
            </w:r>
          </w:p>
        </w:tc>
      </w:tr>
      <w:tr>
        <w:trPr/>
        <w:tc>
          <w:tcPr>
            <w:tcW w:w="2187"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9"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EBITDA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6.0x</w:t>
            </w:r>
          </w:p>
        </w:tc>
      </w:tr>
      <w:tr>
        <w:trPr/>
        <w:tc>
          <w:tcPr>
            <w:tcW w:w="21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25.0%</w:t>
            </w:r>
          </w:p>
        </w:tc>
      </w:tr>
      <w:tr>
        <w:trPr/>
        <w:tc>
          <w:tcPr>
            <w:tcW w:w="2187"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right"/>
              <w:rPr>
                <w:rFonts w:ascii="sans-serif" w:hAnsi="sans-serif"/>
                <w:b/>
                <w:color w:val="000000"/>
                <w:sz w:val="12"/>
              </w:rPr>
            </w:pPr>
            <w:r>
              <w:rPr>
                <w:rFonts w:ascii="sans-serif" w:hAnsi="sans-serif"/>
                <w:b/>
                <w:color w:val="000000"/>
                <w:sz w:val="12"/>
              </w:rPr>
              <w:t>Total Level III Investments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2"/>
              </w:rPr>
            </w:pPr>
            <w:r>
              <w:rPr>
                <w:rFonts w:ascii="sans-serif" w:hAnsi="sans-serif"/>
                <w:color w:val="000000"/>
                <w:sz w:val="12"/>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2"/>
              </w:rPr>
            </w:pPr>
            <w:r>
              <w:rPr>
                <w:rFonts w:ascii="sans-serif" w:hAnsi="sans-serif"/>
                <w:color w:val="000000"/>
                <w:sz w:val="12"/>
              </w:rPr>
              <w:t>414,958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weighted averages disclosed in the table above were weighted by their relative fair value.</w:t>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December 31, 2025, the Company’s Level III portfolio investments had the following valuation techniques and significant inputs (dollars in thousands):</w:t>
      </w:r>
    </w:p>
    <w:p>
      <w:pPr>
        <w:pStyle w:val="TextBody"/>
        <w:bidi w:val="0"/>
        <w:jc w:val="left"/>
        <w:rPr/>
      </w:pPr>
      <w:r>
        <w:rPr/>
        <w:t> </w:t>
      </w:r>
    </w:p>
    <w:tbl>
      <w:tblPr>
        <w:tblW w:w="8776" w:type="dxa"/>
        <w:jc w:val="left"/>
        <w:tblInd w:w="0" w:type="dxa"/>
        <w:tblLayout w:type="fixed"/>
        <w:tblCellMar>
          <w:top w:w="28" w:type="dxa"/>
          <w:left w:w="28" w:type="dxa"/>
          <w:bottom w:w="28" w:type="dxa"/>
          <w:right w:w="28" w:type="dxa"/>
        </w:tblCellMar>
      </w:tblPr>
      <w:tblGrid>
        <w:gridCol w:w="1741"/>
        <w:gridCol w:w="146"/>
        <w:gridCol w:w="166"/>
        <w:gridCol w:w="496"/>
        <w:gridCol w:w="146"/>
        <w:gridCol w:w="146"/>
        <w:gridCol w:w="1681"/>
        <w:gridCol w:w="146"/>
        <w:gridCol w:w="1801"/>
        <w:gridCol w:w="146"/>
        <w:gridCol w:w="216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174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Primary Valuation Techniques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0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Unobservable Inputs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16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Range of Inputs (Weighted Average)</w:t>
            </w:r>
            <w:r>
              <w:rPr>
                <w:rFonts w:ascii="Times New Roman" w:hAnsi="Times New Roman"/>
                <w:b/>
                <w:color w:val="000000"/>
                <w:sz w:val="8"/>
              </w:rPr>
              <w:t>(1)</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46,624</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Broker/Dealer Quotes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N/A</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Recent Transaction Bid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232,609</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Required Rate of Return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5.3% – 18.5% (11.3%)</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Price</w:t>
              <w:br/>
              <w:t>Time to Exit (Years)</w:t>
              <w:br/>
              <w:t>Volatility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$491.0</w:t>
              <w:br/>
              <w:t>1.0</w:t>
              <w:br/>
              <w:t>49.0%</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64,896</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Revenue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0.3x - 2.5x (0.7x)</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EBITDA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5.0x - 9.8x (7.2x)</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Recovery Percentage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72.6% - 100% (95.9%)</w:t>
            </w:r>
          </w:p>
        </w:tc>
      </w:tr>
      <w:tr>
        <w:trPr/>
        <w:tc>
          <w:tcPr>
            <w:tcW w:w="17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Book Value of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2.8x</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Second Lien Debt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15,282</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Broker/Dealer Quotes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N/A</w:t>
            </w:r>
          </w:p>
        </w:tc>
      </w:tr>
      <w:tr>
        <w:trPr/>
        <w:tc>
          <w:tcPr>
            <w:tcW w:w="17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26,901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Required Rate of Return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14.9% - 21.5% (17.1%)</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5,062</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Recovery Percentage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19.4%</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Revenue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0.6x</w:t>
            </w:r>
          </w:p>
        </w:tc>
      </w:tr>
      <w:tr>
        <w:trPr/>
        <w:tc>
          <w:tcPr>
            <w:tcW w:w="1741"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20,275</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Required Rate of Return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10.8% - 15.3% (11.0%)</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Required Rate of Return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9.6% - 19.8% (15.2%)</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Weighted Average Cost of Capital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13.6%</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Price</w:t>
              <w:br/>
              <w:t>Time to Exit (Years)</w:t>
              <w:br/>
              <w:t>Volatility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2"/>
              </w:rPr>
              <w:t>$0.6</w:t>
            </w:r>
            <w:r>
              <w:rPr>
                <w:rFonts w:ascii="Times New Roman" w:hAnsi="Times New Roman"/>
                <w:color w:val="000000"/>
                <w:sz w:val="16"/>
              </w:rPr>
              <w:t> </w:t>
            </w:r>
            <w:r>
              <w:rPr>
                <w:rFonts w:ascii="Times New Roman" w:hAnsi="Times New Roman"/>
                <w:color w:val="000000"/>
                <w:sz w:val="12"/>
              </w:rPr>
              <w:t>- $1,041.5</w:t>
            </w:r>
            <w:r>
              <w:rPr>
                <w:rFonts w:ascii="Times New Roman" w:hAnsi="Times New Roman"/>
                <w:color w:val="000000"/>
                <w:sz w:val="16"/>
              </w:rPr>
              <w:t> </w:t>
            </w:r>
            <w:r>
              <w:rPr>
                <w:rFonts w:ascii="Times New Roman" w:hAnsi="Times New Roman"/>
                <w:color w:val="000000"/>
                <w:sz w:val="12"/>
              </w:rPr>
              <w:t>($802.0)</w:t>
              <w:br/>
              <w:t>1.7</w:t>
            </w:r>
            <w:r>
              <w:rPr>
                <w:rFonts w:ascii="Times New Roman" w:hAnsi="Times New Roman"/>
                <w:color w:val="000000"/>
                <w:sz w:val="16"/>
              </w:rPr>
              <w:t> </w:t>
            </w:r>
            <w:r>
              <w:rPr>
                <w:rFonts w:ascii="Times New Roman" w:hAnsi="Times New Roman"/>
                <w:color w:val="000000"/>
                <w:sz w:val="12"/>
              </w:rPr>
              <w:t>- 3.9</w:t>
            </w:r>
            <w:r>
              <w:rPr>
                <w:rFonts w:ascii="Times New Roman" w:hAnsi="Times New Roman"/>
                <w:color w:val="000000"/>
                <w:sz w:val="16"/>
              </w:rPr>
              <w:t> </w:t>
            </w:r>
            <w:r>
              <w:rPr>
                <w:rFonts w:ascii="Times New Roman" w:hAnsi="Times New Roman"/>
                <w:color w:val="000000"/>
                <w:sz w:val="12"/>
              </w:rPr>
              <w:t>(2.4)</w:t>
              <w:br/>
              <w:t>30.0% - 58.9% (55.3%)</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29,527</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Book Value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0.6x - 1.7x (1.0x)</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EBITDA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4.4x - 17.5x (7.9x)</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Revenue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0.7x - 2.9x (1.0x)</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Expected Takeout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2"/>
              </w:rPr>
              <w:t>$0.4</w:t>
            </w:r>
            <w:r>
              <w:rPr>
                <w:rFonts w:ascii="Times New Roman" w:hAnsi="Times New Roman"/>
                <w:color w:val="000000"/>
                <w:sz w:val="16"/>
              </w:rPr>
              <w:t> </w:t>
            </w:r>
            <w:r>
              <w:rPr>
                <w:rFonts w:ascii="Times New Roman" w:hAnsi="Times New Roman"/>
                <w:color w:val="000000"/>
                <w:sz w:val="12"/>
              </w:rPr>
              <w:t>- $1.0</w:t>
            </w:r>
            <w:r>
              <w:rPr>
                <w:rFonts w:ascii="Times New Roman" w:hAnsi="Times New Roman"/>
                <w:color w:val="000000"/>
                <w:sz w:val="16"/>
              </w:rPr>
              <w:t> </w:t>
            </w:r>
            <w:r>
              <w:rPr>
                <w:rFonts w:ascii="Times New Roman" w:hAnsi="Times New Roman"/>
                <w:color w:val="000000"/>
                <w:sz w:val="12"/>
              </w:rPr>
              <w:t>($0.9)</w:t>
            </w:r>
          </w:p>
        </w:tc>
      </w:tr>
      <w:tr>
        <w:trPr/>
        <w:tc>
          <w:tcPr>
            <w:tcW w:w="1741"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Option Purchase Price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$408.1</w:t>
            </w:r>
          </w:p>
        </w:tc>
      </w:tr>
      <w:tr>
        <w:trPr/>
        <w:tc>
          <w:tcPr>
            <w:tcW w:w="17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Collateralized Loan Obligations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Recovery 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0.5% - 6.4% (5.7%)</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10,655</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Approach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Discount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18.6%</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Probability of Default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Recovery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70.0%</w:t>
            </w:r>
          </w:p>
        </w:tc>
      </w:tr>
      <w:tr>
        <w:trPr/>
        <w:tc>
          <w:tcPr>
            <w:tcW w:w="174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Prepayment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20.0%</w:t>
            </w:r>
          </w:p>
        </w:tc>
      </w:tr>
      <w:tr>
        <w:trPr/>
        <w:tc>
          <w:tcPr>
            <w:tcW w:w="1741"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Enterprise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Book Value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0.6x</w:t>
            </w:r>
          </w:p>
        </w:tc>
      </w:tr>
      <w:tr>
        <w:trPr/>
        <w:tc>
          <w:tcPr>
            <w:tcW w:w="174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EBITDA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6.3x</w:t>
            </w:r>
          </w:p>
        </w:tc>
      </w:tr>
      <w:tr>
        <w:trPr/>
        <w:tc>
          <w:tcPr>
            <w:tcW w:w="1741"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Discount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40.0%</w:t>
            </w:r>
          </w:p>
        </w:tc>
      </w:tr>
      <w:tr>
        <w:trPr/>
        <w:tc>
          <w:tcPr>
            <w:tcW w:w="174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Total Level III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weighted averages disclosed in the table above were weighted by their relative fair value.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six months ended June 30, 2026, there have been no changes in valuation techniques outside of those contemplated in the Company’s Valuation Policy for Level III fair value measurements that have had a material impact on the valuation of the Company’s investment portfolio. The Company does not hold any Level II investments as of the period ended June 30, 2026 and December 31,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investment in the F3C Joint Venture is carried at fair value based upon the fair value of the investments held by the F3C Joint Venture.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 values derivative contracts using various pricing models that take into account the terms of the contract (including notional amount and contract maturity) and observable and unobservable inputs such as interest rates and changes in fair value of the reference asset.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tables detail derivative investments as of June 30, 2026 and December 31, 2025:</w:t>
      </w:r>
    </w:p>
    <w:tbl>
      <w:tblPr>
        <w:tblW w:w="10017" w:type="dxa"/>
        <w:jc w:val="left"/>
        <w:tblInd w:w="0" w:type="dxa"/>
        <w:tblLayout w:type="fixed"/>
        <w:tblCellMar>
          <w:top w:w="28" w:type="dxa"/>
          <w:left w:w="28" w:type="dxa"/>
          <w:bottom w:w="28" w:type="dxa"/>
          <w:right w:w="28" w:type="dxa"/>
        </w:tblCellMar>
      </w:tblPr>
      <w:tblGrid>
        <w:gridCol w:w="1574"/>
        <w:gridCol w:w="157"/>
        <w:gridCol w:w="417"/>
        <w:gridCol w:w="1091"/>
        <w:gridCol w:w="157"/>
        <w:gridCol w:w="157"/>
        <w:gridCol w:w="787"/>
        <w:gridCol w:w="1515"/>
        <w:gridCol w:w="157"/>
        <w:gridCol w:w="157"/>
        <w:gridCol w:w="567"/>
        <w:gridCol w:w="1005"/>
        <w:gridCol w:w="157"/>
        <w:gridCol w:w="157"/>
        <w:gridCol w:w="632"/>
        <w:gridCol w:w="1119"/>
        <w:gridCol w:w="211"/>
      </w:tblGrid>
      <w:tr>
        <w:trPr/>
        <w:tc>
          <w:tcPr>
            <w:tcW w:w="15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in thousands)</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Types of contracts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assets (liabilities)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 gain(loss)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Call option</w:t>
            </w:r>
            <w:r>
              <w:rPr>
                <w:rFonts w:ascii="Times New Roman" w:hAnsi="Times New Roman"/>
                <w:color w:val="000000"/>
                <w:sz w:val="11"/>
              </w:rPr>
              <w:t>(1)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Put option</w:t>
            </w:r>
            <w:r>
              <w:rPr>
                <w:rFonts w:ascii="Times New Roman" w:hAnsi="Times New Roman"/>
                <w:color w:val="000000"/>
                <w:sz w:val="11"/>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806"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 Net amount included in non-controlled/non- affiliated investments on the consolidated statements of assets and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6"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 Net amount included in non-controlled/non- affiliated investments and non-controlled affiliated investments on the consolidated statements of assets and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in thousands)</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Types of contracts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assets (liabilities)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 gain(loss)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Call option</w:t>
            </w:r>
            <w:r>
              <w:rPr>
                <w:rFonts w:ascii="Times New Roman" w:hAnsi="Times New Roman"/>
                <w:color w:val="000000"/>
                <w:sz w:val="11"/>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Put option</w:t>
            </w:r>
            <w:r>
              <w:rPr>
                <w:rFonts w:ascii="Times New Roman" w:hAnsi="Times New Roman"/>
                <w:color w:val="000000"/>
                <w:sz w:val="11"/>
              </w:rPr>
              <w:t>(2)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806"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 Net amount included in non-controlled/non- affiliated investments on the consolidated statements of assets and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6"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 Net amount included in non-controlled/non- affiliated investments and non-controlled affiliated investments on the consolidated statements of assets and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16"/>
        </w:rPr>
      </w:pPr>
      <w:r>
        <w:rPr>
          <w:rFonts w:ascii="Times New Roman" w:hAnsi="Times New Roman"/>
          <w:b/>
          <w:color w:val="000000"/>
          <w:sz w:val="16"/>
        </w:rPr>
        <w:t>5.</w:t>
      </w:r>
      <w:r>
        <w:rPr>
          <w:rFonts w:ascii="Times New Roman" w:hAnsi="Times New Roman"/>
          <w:color w:val="000000"/>
          <w:sz w:val="16"/>
        </w:rPr>
        <w:t xml:space="preserve"> </w:t>
      </w:r>
      <w:r>
        <w:rPr>
          <w:rFonts w:ascii="Times New Roman" w:hAnsi="Times New Roman"/>
          <w:b/>
          <w:color w:val="000000"/>
          <w:sz w:val="16"/>
        </w:rPr>
        <w:t>RELATED PARTY TRANSACTIONS</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Advisory Agreement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 provides management services to the Company pursuant to the Advisory Agreement. Under the terms of the Advisory Agreement, the Adviser is responsible for the following:</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managing the Company’s assets in accordance with our investment objective, policies and restrictions;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determining the composition of the Company’s portfolio, the nature and timing of the changes to the portfolio and the manner of implementing such changes;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identifying, evaluating and negotiating the structure of the Company’s investments;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monitoring the Company’s investments;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determining the securities and other assets that the Company will purchase, retain or sell;</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(6)</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assisting the Board with its valuation of the Company’s assets;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(7)</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directing investment professionals of the Adviser to provide managerial assistance to the Company’s portfolio companies;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(8)</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performing due diligence on prospective portfolio companies;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(9)</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exercising voting rights in respect of portfolio securities and other investments for the Company;</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(10)</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serving on, and exercising observer rights for, boards of directors and similar committees of our portfolio companies; and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providing the Company with such other investment advisory, research and related services as the Adviser may, from time to time, reasonably require for the investment of capital.</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Adviser’s services under the Advisory Agreement are not exclusive, and it is free to furnish similar services to other entities so long as its services to the Company are not impaired.</w:t>
      </w:r>
    </w:p>
    <w:p>
      <w:pPr>
        <w:pStyle w:val="TextBody"/>
        <w:bidi w:val="0"/>
        <w:spacing w:before="240" w:after="283"/>
        <w:jc w:val="both"/>
        <w:rPr>
          <w:rFonts w:ascii="Times New Roman" w:hAnsi="Times New Roman"/>
          <w:i/>
          <w:color w:val="000000"/>
          <w:sz w:val="16"/>
        </w:rPr>
      </w:pPr>
      <w:r>
        <w:rPr>
          <w:rFonts w:ascii="Times New Roman" w:hAnsi="Times New Roman"/>
          <w:i/>
          <w:color w:val="000000"/>
          <w:sz w:val="16"/>
        </w:rPr>
        <w:t>Term</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Unless earlier terminated as described below, the Advisory Agreement will remain in effect from year-to-year if approved annually by a majority of the Board or by the holders of a majority of the outstanding shares, and, in each case, a majority of the independent directors.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Advisory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pStyle w:val="TextBody"/>
        <w:bidi w:val="0"/>
        <w:spacing w:before="240" w:after="283"/>
        <w:jc w:val="both"/>
        <w:rPr>
          <w:rFonts w:ascii="Times New Roman" w:hAnsi="Times New Roman"/>
          <w:i/>
          <w:color w:val="000000"/>
          <w:sz w:val="16"/>
        </w:rPr>
      </w:pPr>
      <w:r>
        <w:rPr>
          <w:rFonts w:ascii="Times New Roman" w:hAnsi="Times New Roman"/>
          <w:i/>
          <w:color w:val="000000"/>
          <w:sz w:val="16"/>
        </w:rPr>
        <w:t>Removal of Adviser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pStyle w:val="TextBody"/>
        <w:bidi w:val="0"/>
        <w:spacing w:before="240" w:after="283"/>
        <w:jc w:val="both"/>
        <w:rPr>
          <w:rFonts w:ascii="Times New Roman" w:hAnsi="Times New Roman"/>
          <w:i/>
          <w:color w:val="000000"/>
          <w:sz w:val="16"/>
        </w:rPr>
      </w:pPr>
      <w:r>
        <w:rPr>
          <w:rFonts w:ascii="Times New Roman" w:hAnsi="Times New Roman"/>
          <w:i/>
          <w:color w:val="000000"/>
          <w:sz w:val="16"/>
        </w:rPr>
        <w:t>Compensation of Adviser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connection with the LRFC Acquisition, the Company entered into an incentive fee waiver agreement (the “Incentive Fee Waiver Agreement”) with the Adviser. Under the Incentive Fee Waiver Agreement, the Adviser has agreed to waive a specified portion of its Incentive Fees to offset certain costs and expenses incurred by the Company in connection with, and in pursuance of, the LRFC Acquisition. For the fiscal quarter ended September 30, 2025 (the “Initial Fiscal Quarter”), the Adviser waived $187,500 of Incentive Fees earned during that period. For each of the first through seventh full fiscal quarters following the Initial Fiscal Quarter (each, a “Subsequent Fiscal Quarter”), the Adviser shall waive Incentive Fees equal to the lesser of (a) the Incentive Fees earned in such quarter less $1,250,000 and (b) $187,500 (the “Waiver Cap”). If the waived amount in any Subsequent Fiscal Quarter is less than the Waiver Cap, the shortfall shall be carried forward by increasing the Waiver Cap in subsequent quarters until the earlier of (i) the end of the seventh full fiscal quarter following the Initial Fiscal Quarter or (ii) the point at which cumulative waived fees equal the total shortfall. Any Incentive Fees waived under the Incentive Fee Waiver Agreement are not subject to reimbursement or recoupment.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(as defined below),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 In connection with the LRFC Acquisition, the Company excludes from pre-incentive fee net investment income any accretion of purchase discount attributable to the adjustment made to the cost basis of acquired assets at the time of the LRFC Acquisition (including the step-down in U.S. GAAP basis from the purchase discount allocation and the reversal, through accretion, of the day-one unrealized appreciation recognized under ASC 946 at acquisition). However, accretion of income from the amortized cost basis of LRFC investments immediately prior to the merger (i.e., carryover tax basis) is included in pre-incentive fee net investment income, as such accretion is taxable and reflects economic income earned by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excluding any realized capital gains, realized capital losses or unrealized capital appreciation or depreciation due to the purchase discount attributable to the adjustment made to the cost basis of acquired assets at the time of the LRFC Acquisition,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Advisory Agreement be in excess of the amount permitted by the Investment Advisers Act of 1940, as amended (the “Advisers Act”) including Section 205 thereof.</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fees that are payable under the Advisory Agreement for any partial period will be appropriately prorated.</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240" w:after="283"/>
        <w:jc w:val="both"/>
        <w:rPr>
          <w:rFonts w:ascii="Times New Roman" w:hAnsi="Times New Roman"/>
          <w:i/>
          <w:color w:val="000000"/>
          <w:sz w:val="16"/>
        </w:rPr>
      </w:pPr>
      <w:r>
        <w:rPr>
          <w:rFonts w:ascii="Times New Roman" w:hAnsi="Times New Roman"/>
          <w:i/>
          <w:color w:val="000000"/>
          <w:sz w:val="16"/>
        </w:rPr>
        <w:t>Limitations of Liability and Indemnification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pStyle w:val="TextBody"/>
        <w:bidi w:val="0"/>
        <w:spacing w:before="240" w:after="283"/>
        <w:jc w:val="both"/>
        <w:rPr>
          <w:rFonts w:ascii="Times New Roman" w:hAnsi="Times New Roman"/>
          <w:i/>
          <w:color w:val="000000"/>
          <w:sz w:val="16"/>
        </w:rPr>
      </w:pPr>
      <w:r>
        <w:rPr>
          <w:rFonts w:ascii="Times New Roman" w:hAnsi="Times New Roman"/>
          <w:i/>
          <w:color w:val="000000"/>
          <w:sz w:val="16"/>
        </w:rPr>
        <w:t>Board Approval of the Advisory Agreement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December 12, 2018, the then-current Board held an in-person meeting to consider and approve the Advisory Agreement and related matters, and on April 1, 2019 the Company entered into the Advisory Agreement with the Adviser. The Board most recently determined to re-approve the Advisory Agreement at a meeting held on March 4, 2026. In reaching a decision to re-approve the Advisory Agreement, the Board was provided the information required to consider the Advisory Agreement, including: (a) the nature, quality and extent of the investment advisory and other services to be provided to the Company by the Adviser; (b) comparative data with respect to investment advisory fees or similar expenses paid by other BDCs with similar investment objectives; (c) the Company projected operating expenses and expense ratio compared to BDCs with similar investment objectives; (d) any existing and potential sources of indirect income to the Adviser from its relationship with the Company and the profitability of that relationship; (e) information about the services to be performed and the personnel performing such services under the Advisory Agreement; and (f) the organizational capability and financial condition of the Adviser and its affiliates.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Board, including a majority of independent directors will oversee and monitor the Company’s investment performance and annually reviews the compensation we pay to the Adviser.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incurred base management fees for the three months ended June 30, 2026 and 2025 of approximately $1.6 million and $1.4 million, respectively. The Company incurred base management fees for the six months ended June 30, 2026 and 2025 of approximately $3.3 million and $2.9 million, respectively. The Company did not incur any incentive fees for the three months ended June 30, 2026, compared to approximately $1.0 million for the three months ended June 30, 2025. The Company incurred incentive fees of approximately $0.9 million and $1.9 million, respectively, for the six months ended June 30, 2026 and 2025.</w:t>
      </w:r>
    </w:p>
    <w:p>
      <w:pPr>
        <w:pStyle w:val="TextBody"/>
        <w:bidi w:val="0"/>
        <w:spacing w:before="240" w:after="283"/>
        <w:jc w:val="both"/>
        <w:rPr>
          <w:rFonts w:ascii="Times New Roman" w:hAnsi="Times New Roman"/>
          <w:i/>
          <w:color w:val="000000"/>
          <w:sz w:val="16"/>
        </w:rPr>
      </w:pPr>
      <w:r>
        <w:rPr>
          <w:rFonts w:ascii="Times New Roman" w:hAnsi="Times New Roman"/>
          <w:i/>
          <w:color w:val="000000"/>
          <w:sz w:val="16"/>
        </w:rPr>
        <w:t>Administration Agreement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Unless earlier terminated as described below, the Administration Agreement will remain in effect from year-to-year if approved annually by a majority of the Board or by the holders of a Majority of the Outstanding Shares, and, in each case, a majority of the independent directors. On April 1, 2019, the Board approved the Administration Agreement with the Administrator and the Board most recently determined to re-approve the Administration Agreement at a meeting held on March 4, 2026.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 may terminate the Administration Agreement, without payment of any penalty, upon 60 days’ written notice. The decision to terminate the Administration Agreement may be made by a majority of the Board or the stockholders holding a Majority of the Outstanding Shares. In addition, the Adviser may terminate the Administration Agreement, without payment of any penalty, upon 60 days’ written notice.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Administrative services expense for the three months ended June 30, 2026 and 2025 was $0.6 million and $0.5 million, respectively. Administrative services expense for the six months ended June 30, 2026 and 2025 was $1.1 million and $0.9 million, respectively.</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Payment of Expenses under the Advisory and Administration Agreements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Except as specifically provided below, all investment professionals and staff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cost of calculating the Company’s net asset value, including the cost of any third-party valuation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cost of effecting any sales and repurchases of the Company’s common stock and other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fees and expenses payable under any dealer manager or placement agent agreements,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administration fees payable under the Administration Agreement and any sub-administration agreements, including related expenses;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debt service and other costs of borrowings or other financing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of hedging;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expenses, including travel expenses, incurred by the Adviser, or members of the investment team, or payable to third parties, performing due diligence on prospective portfolio companies and, if necessary, enforcing our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transfer agent and custodial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fees and expenses associated with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federal and state registration fees, any stock exchange listing fees and fees payable to rating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federal, state and local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independent directors’ fees and expenses including certain travel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commissions and other compensation payable to brokers or dealers;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research and market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fidelity bond, directors and officers errors and omissions liability insurance and other insurance premiums;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direct costs and expenses of administration, including printing, mailing, long distance telephone and staff;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fees and expenses associated with independent audits, outside legal and consulting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of winding up our affairs;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incurred by either the Administrator or us in connection with administering our business, including payments under the Administration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extraordinary expenses (such as litigation or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associated with reporting and compliance obligations under the 1940 Act and applicable federal and state securities 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associated with the Company’s legacy lease.</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Co-investment Exemptive Relief</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a BDC, we are subject to certain regulatory restrictions in making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April 10, 2023, superseding a prior exemptive order granted on October 23, 2018, the SEC issued an order granting an application for exemptive relief to us and certain of our affiliates that allows BDCs managed by the Adviser, including us, to co-invest, subject to the satisfaction of certain conditions, in certain private placement transactions, with other funds managed by the Adviser or its affiliates, certain proprietary accounts of the Adviser or its affiliates and any future funds that are advised by the Adviser or its affiliated investment advisers.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to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Transactions with BC Partners Securities LLC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October 15, 2025, the Company paid an affiliate of BC Partners Securities LLC a fee for services rendered in connection with the issuance of the 2028 Notes and 2030 Notes as the Company’s structuring advisor in the amount of 0.25% of the $110 million in aggregate principal issued of 2028 Notes and 2030 Notes, or $0.3 million. See Note 6 — “Borrowings” of our notes to the consolidated financial statements included herein for further information about the 2028 Notes and the 2030 Notes.</w:t>
      </w:r>
    </w:p>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Related Party Trades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There were no transactions subject to Rule 17a-7 under the 1940 Act during the three and six months ended June 30, 2026 and 2025.</w:t>
      </w:r>
    </w:p>
    <w:p>
      <w:pPr>
        <w:pStyle w:val="TextBody"/>
        <w:bidi w:val="0"/>
        <w:spacing w:before="240" w:after="283"/>
        <w:jc w:val="both"/>
        <w:rPr>
          <w:rFonts w:ascii="Times New Roman" w:hAnsi="Times New Roman"/>
          <w:sz w:val="16"/>
        </w:rPr>
      </w:pPr>
      <w:r>
        <w:rPr>
          <w:rFonts w:ascii="Times New Roman" w:hAnsi="Times New Roman"/>
          <w:b/>
          <w:color w:val="000000"/>
          <w:sz w:val="16"/>
        </w:rPr>
        <w:t>6.</w:t>
      </w:r>
      <w:r>
        <w:rPr>
          <w:rFonts w:ascii="Times New Roman" w:hAnsi="Times New Roman"/>
          <w:color w:val="000000"/>
          <w:sz w:val="16"/>
        </w:rPr>
        <w:t xml:space="preserve"> </w:t>
      </w:r>
      <w:r>
        <w:rPr>
          <w:rFonts w:ascii="Times New Roman" w:hAnsi="Times New Roman"/>
          <w:b/>
          <w:color w:val="000000"/>
          <w:sz w:val="16"/>
        </w:rPr>
        <w:t>BORROWINGS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Company’s debt obligations consist of the following: </w:t>
      </w:r>
    </w:p>
    <w:p>
      <w:pPr>
        <w:pStyle w:val="TextBody"/>
        <w:bidi w:val="0"/>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440"/>
        <w:gridCol w:w="235"/>
        <w:gridCol w:w="833"/>
        <w:gridCol w:w="146"/>
        <w:gridCol w:w="299"/>
        <w:gridCol w:w="1057"/>
        <w:gridCol w:w="195"/>
      </w:tblGrid>
      <w:tr>
        <w:trPr/>
        <w:tc>
          <w:tcPr>
            <w:tcW w:w="744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 (net of deferred financing costs and original issue discount of $24 and $312, respectively)</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 Notes (net of deferred financing costs and original issue discount of $712 and $851, respectively)</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34,149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 Notes (net of deferred financing costs of $847 and $—, respectively)</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Notes (net of deferred financing costs and original issue discount of $2,213 and $2,423, respectively)</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72,577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 (net of deferred financing costs and original issue discount of $96 and $102, respectively)</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Portman Ridge Funding LLC Revolving Credit Facility (net of deferred financing costs of $576 and $825, respectively)</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106,804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 (net of deferred financing costs of $781 and $904, respectively)</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41,765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280,801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306,881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weighted average stated interest rate and weighted average maturity on all our debt outstanding as of June 30, 2026 were 7.0% and 2.8 years, respectively, and as of December 31, 2025 were 6.9% and 2.7 years, respectively.</w:t>
      </w:r>
    </w:p>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4.875% Notes due 2026</w:t>
      </w:r>
    </w:p>
    <w:p>
      <w:pPr>
        <w:pStyle w:val="TextBody"/>
        <w:bidi w:val="0"/>
        <w:spacing w:before="120" w:after="283"/>
        <w:jc w:val="left"/>
        <w:rPr>
          <w:rFonts w:ascii="Times New Roman" w:hAnsi="Times New Roman"/>
          <w:i/>
          <w:color w:val="000000"/>
          <w:sz w:val="16"/>
        </w:rPr>
      </w:pPr>
      <w:r>
        <w:rPr>
          <w:rFonts w:ascii="Times New Roman" w:hAnsi="Times New Roman"/>
          <w:i/>
          <w:color w:val="000000"/>
          <w:sz w:val="16"/>
        </w:rPr>
        <w:t>Notes Offering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April 30, 2021, the Company issued $80.0 million in aggregate principal amount of unsecured 4.875% Notes due 2026 (the “4.875% Notes due 2026”) in a private placement exempt from registration under the Section 4(a)(2) of the Securities Act. The 4.875% Notes due 2026 were not registered under the Securities Act or any state securities laws and may not be reoffered or resold in the United States absent registration or an applicable exemption from such registration requirements. The net proceeds to the Company were approximately $77.7 million, after deducting estimated offering expenses. The Company used the net proceeds of the offering to redeem in full its 6.125% Notes due 2022, to make investments in portfolio companies in accordance with its investment objectives, and for general corporate purposes.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April 30, 2021, the Company and U.S. Bank Trust Company, National Association (the “Trustee”) entered into a Supplemental Indenture (the “Third Supplemental Indenture”), which supplements that certain Base Indenture, dated as of October 10, 2012 (as may be further amended, supplemented or otherwise modified from time to time, the “Base Indenture” and, together with the Third Supplemental Indenture, the “Indenture”). The Third Supplemental Indenture relates to the Company’s issuance of the 4.875% Notes due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4.875% Notes due 2026 will mature on April 30, 2026 and may be redeemed in whole or in part at the Company’s option at any time or from time to time at the redemption prices set forth in the Indenture and bear interest at a rate of 4.875% per year payable semi-annually on April 30 and October 30 of each year. The 4.875% Notes due 2026 are general unsecured obligations of the Company that rank senior in right of payment to all of the Company’s existing and future indebtedness that is expressly subordinated in right of payment to the 4.875% Notes due 2026,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Indenture contains certain covenants, including covenants requiring the Company to comply with the asset coverage requirements of Sections 18(a)(1)(A) and 18(a)(1)(B) as modified by Section 61(a)(2) of the 1940 Act, whether or not it is subject to those requirements, and to provide financial information to the holders of the Notes and the Trustee if the Company is no longer subject to the reporting requirements under the Exchange Act. Additionally, the Company has agreed to use its commercially reasonable efforts to maintain a rating of the 4.875% Notes due 2026 from a rating agency, as long as the notes are outstanding. These covenants are subject to important limitations and exceptions that are described in the Indenture.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addition, on the occurrence of a “change of control repurchase event,” as defined in the Indenture, the Company will generally be required to make an offer to purchase the outstanding notes at a price equal to 100% of the principal amount of such notes plus accrued and unpaid interest to the repurchase date.</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Sale of Additional 4.875% Notes due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June 23, 2021, the Company issued $28.0 million in aggregate principal amount of its 4.875% Notes due 2026 (the “New Notes”) in a private placement exempt from registration under the Section 4(a)(2) of the Securities Act. The New Notes have not been registered under the Securities Act or any state securities laws and may not be reoffered or resold in the United States absent registration or an applicable exemption from such registration requirements. The net proceeds to the Company were approximately $27.4 million, after deducting estimated offering expenses. The Company used the net proceeds of the offering to redeem in full the notes it assumed in connection with the HCAP Transaction, make investments in portfolio companies in accordance with its investment objectives, and for general corporate purposes.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New Notes were issued under the Indenture governing the 4.875% Notes due 2026. The New Notes were issued as “Additional Notes” under the Indenture and have identical terms to the Company’s $80.0 million of aggregate principal amount of 4.875% Notes due 2026 that were issued on April 30, 2021, other than the issue date. The New Notes will be treated as a single class of notes with the Company’s existing 4.875% Notes due 2026 for all purposes under the Indenture.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 connection with the issuance of the 4.875% Notes due 2026, (including the New Notes) the Company incurred approximately $2.4 million of original issue discount, and $1.2 million of debt offering costs, both of which are being amortized over the expected term of the facility on an effective yield method. </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Exchange of 4.875% Notes due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October 5, 2021, the Company filed with the SEC a registration statement relating to an offer to exchange the 4.875% Notes due 2026 for new notes issued by the Company that are registered under the Securities Act (the “Exchange Offer”), which registration statement was declared effective on December 2, 2021. Upon the terms and subject to the conditions in the prospectus relating to the Exchange Offer, the Company accepted any existing 4.875% Notes due 2026 (the “Restricted Notes”) validly tendered and not withdrawn prior to January 3, 2022, the expiration date of the Exchange Offer, and issued new 4.875% Notes due 2026 that have been registered under the Securities Act (the “Exchange Notes”). The form and terms of the Exchange Notes are substantially identical to those of the Restricted Notes, except that the transfer restrictions and registration rights relating to the Restricted Notes do not apply to the Exchange Notes, and the Exchange Notes do not provide for the payment of additional interest in the event of a registration default. In addition, the Exchange Notes bear a different CUSIP number than the Restricted Notes. The Exchange Notes are issued under and entitled to the benefits of the same indenture that authorized the issuance of the Restricted Notes.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the expiration date of the Exchange Offer, all of the Restricted Notes had been validly tendered, and all of the outstanding Restricted Notes were exchanged for newly issued Exchange Notes.</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Redemption of 4.875% Notes due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4.875% Notes due 2026 were issued during the second quarter of 2021 and on October 14, 2025, the Company notified the Trustee of its election to redeem in full the $108.0 million aggregate principal amount outstanding of its 4.875% Notes due 2026 and redemption occurred on November 13, 2025. The 4.875% Notes due 2026 were redeemed at par plus accrued interest which resulted in a loss of approximately $0.4 million.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original issue discount, deferred financing costs, average outstanding balance, and average stated interest rate on the 4.875% Notes due 2026 for the three and six months ended June 30, 2026 and 2025:</w:t>
      </w:r>
    </w:p>
    <w:p>
      <w:pPr>
        <w:pStyle w:val="TextBody"/>
        <w:bidi w:val="0"/>
        <w:spacing w:before="120" w:after="283"/>
        <w:jc w:val="both"/>
        <w:rPr/>
      </w:pPr>
      <w:r>
        <w:rPr/>
        <w:t> </w:t>
      </w:r>
    </w:p>
    <w:tbl>
      <w:tblPr>
        <w:tblW w:w="9157" w:type="dxa"/>
        <w:jc w:val="left"/>
        <w:tblInd w:w="0" w:type="dxa"/>
        <w:tblLayout w:type="fixed"/>
        <w:tblCellMar>
          <w:top w:w="28" w:type="dxa"/>
          <w:left w:w="28" w:type="dxa"/>
          <w:bottom w:w="28" w:type="dxa"/>
          <w:right w:w="28" w:type="dxa"/>
        </w:tblCellMar>
      </w:tblPr>
      <w:tblGrid>
        <w:gridCol w:w="3021"/>
        <w:gridCol w:w="981"/>
        <w:gridCol w:w="413"/>
        <w:gridCol w:w="1456"/>
        <w:gridCol w:w="241"/>
        <w:gridCol w:w="914"/>
        <w:gridCol w:w="384"/>
        <w:gridCol w:w="1356"/>
        <w:gridCol w:w="391"/>
      </w:tblGrid>
      <w:tr>
        <w:trPr/>
        <w:tc>
          <w:tcPr>
            <w:tcW w:w="302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original issue discount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financing costs</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interest and financing expenses</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Average outstanding balance</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Average stated interest rate</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2026 Notes</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Effective July 15, 2025, as a result of the completion of the LRFC Acquisition, the Company succeeded to the obligations of LRFC under LRFC’s 5.25% fixed-rate notes due October 30, 2026 (the “2026 Notes”). The 2026 Notes were originally issued on October 29, 2021, in an aggregate principal amount of $50.0 million pursuant to a supplemental indenture with the Trustee, which supplements the base indenture, dated June 16, 2014. At the time of the LRFC Acquisition, the unamortized portion of the discount and deferred financing costs were $0.3 million and $0.2 million, respectively, and have continued to be amortized throughout the period.</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2026 Notes were initially issued in a private placement exempt from registration under Section 4(a)(2) of the Securities Act, and subsequently exchanged in July 2022 for registered notes with substantially identical terms. The net proceeds from the original issuance were approximately $48.8 million, after deducting estimated offering expenses.</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2026 Notes mature on October 30, 2026 and may be redeemed in whole or in part at the Company’s option at any time or from time to time at the redemption prices set forth in the indenture. The 2026 Notes bear interest at a rate of 5.25% per annum, payable semi-annually on April 30 and October 30 of each year, commencing April 30, 2022. On March 28, 2024, the notes were downgraded below Investment Grade by a Nationally Recognized Statistical Rating Organization (“NRSRO”), resulting in a step-up in the interest rate to 6.00% per annum.</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2026 Notes are general unsecured obligations of the Company, ranking senior in right of payment to all existing and future indebtedness that is expressly subordinated to the notes, pari passu with all existing and future unsecured unsubordinated indebtedness, effectively junior to any secured indebtedness to the extent of the value of the assets securing such indebtedness, and structurally junior to all existing and future indebtedness incurred by the Company’s subsidiaries or financing vehicles.</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 xml:space="preserve">On October 7, 2025, the Company obtained a BBB- rating from a NRSRO with respect to the 2026 Notes. Starting on October 7, 2025, as a result of the rating, the 2026 Notes have a fixed interest rate of 5.25% per annum, which remained the rate applicable from the date of the change through June 30, 2026. </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On March 27, 2026, the Company notified the Trustee of its election to redeem $40.0 million aggregate principal amount outstanding of its 5.25% Notes due 2026 pursuant to the terms of the Base Indenture, the Fourth Supplemental Indenture and the Fifth Supplemental Indenture. The redemption was executed on April 27, 2026 and the $40.0 million aggregate principal was redeemed at par plus accrued interest and a make-whole payment calculated in accordance with the Fourth Supplemental Indenture which resulted in a loss of approximately $0.4 million.</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original issue discount, amortization of deferred financing costs, average outstanding balance, and average stated interest rate on the 2026 Notes for the three and six months ended June 30, 2026 and 2025:</w:t>
      </w:r>
    </w:p>
    <w:p>
      <w:pPr>
        <w:pStyle w:val="TextBody"/>
        <w:bidi w:val="0"/>
        <w:spacing w:before="120" w:after="283"/>
        <w:jc w:val="both"/>
        <w:rPr/>
      </w:pPr>
      <w:r>
        <w:rPr/>
        <w:t> </w:t>
      </w:r>
    </w:p>
    <w:tbl>
      <w:tblPr>
        <w:tblW w:w="8630" w:type="dxa"/>
        <w:jc w:val="left"/>
        <w:tblInd w:w="0" w:type="dxa"/>
        <w:tblLayout w:type="fixed"/>
        <w:tblCellMar>
          <w:top w:w="28" w:type="dxa"/>
          <w:left w:w="28" w:type="dxa"/>
          <w:bottom w:w="28" w:type="dxa"/>
          <w:right w:w="28" w:type="dxa"/>
        </w:tblCellMar>
      </w:tblPr>
      <w:tblGrid>
        <w:gridCol w:w="3081"/>
        <w:gridCol w:w="371"/>
        <w:gridCol w:w="1139"/>
        <w:gridCol w:w="456"/>
        <w:gridCol w:w="883"/>
        <w:gridCol w:w="302"/>
        <w:gridCol w:w="928"/>
        <w:gridCol w:w="372"/>
        <w:gridCol w:w="1098"/>
      </w:tblGrid>
      <w:tr>
        <w:trPr/>
        <w:tc>
          <w:tcPr>
            <w:tcW w:w="308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70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Amortization of original issue discount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21,739</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35,714</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2028 Notes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October 10, 2025, the Company entered into a note purchase agreement (the “2028 &amp; 2030 Note Purchase Agreement”), by and among the Company and each purchaser named therein, in connection with the issuance and sale of $35.0 million in aggregate principal amount of the Company’s 7.50% notes due 2028 (the “2028 Notes”) at a price of 98.5% of par, pursuant to an effective shelf registration statement on Form N-2, as amended, which was declared effective on February 10, 2025. The net proceeds to the Company were approximately $34.1 million, which is net of a discount and allocated deferred financing costs. The Company used the net proceeds of the offering to redeem in full its 4.875% Notes due 2026 and to pay down existing indebtedness. The 2028 Notes were issued on October 15,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conjunction therewith, the Company and the Trustee entered into a Fourth Supplemental Indenture relating to the 2028 Notes (the “Fourth Supplemental Indenture”), which supplements that certain Base Indenture, dated as of October 10, 2012 (as may be further amended, supplemented or otherwise modified from time to time, the “Base Indenture” and, together with the Fourth Supplemental Indenture, the “2028 Notes Indenture”).</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2028 Notes will mature on October 15, 2028. The 2028 Notes may be redeemed in whole or in part at the Company’s option at any time or from time to time prior to July 15, 2028 at par value plus a “make-whole” premium calculated in accordance with the terms under “optional redemption” in the 2028 Notes Indenture and at par value on July 15, 2028 or thereafter.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2028 Notes bear interest at the rate of 7.50% per year, payable semi-annually on April 30 and October 30 of each year, commencing on October 30, 2025. The Notes are general unsecured obligations of the Company that rank senior in right of payment to all of the Company’s existing and future indebtedness that is expressly subordinated in right of payment to the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2028 Notes Indenture contains certain covenants, including covenants requiring the Company to comply with the asset coverage requirements of Sections 18(a)(1)(A) and 18(a)(1)(B) as modified by Section 61(a)(2) of the 1940 Act, as amended, whether or not it is subject to those requirements, and to provide financial information to the holders of the Notes and the Trustee if the Company is no longer subject to the reporting requirements under the Exchange Act. Additionally, the Company has agreed to use its commercially reasonable efforts to maintain a rating of the 2028 Notes from a rating agency, as defined in the 2028 Notes Indenture, as long as the Notes are outstanding. These covenants are subject to important limitations and exceptions that are described in the 2028 Notes Indenture. As of June 30, 2026, the Company is in compliance with all associated covenants.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addition, on the occurrence of a “change of control repurchase event,” as defined in the 2028 Notes Indenture, the Company will generally be required to make an offer to purchase the outstanding Notes at a price equal to 100% of the principal amount of such Notes plus accrued and unpaid interest to the repurchase date. Also, on the occurrence of an “Interest Rate Adjustment Event,” as defined in the 2028 Notes Indenture, the Notes will bear interest at a fixed rate per annum which is 0.75% in excess of the initial rate of the Notes, as applicable, from the date of the occurrence of the Interest Rate Adjustment Event to and until the date on which the Interest Rate Adjustment Event is no longer continuing.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original issue discount, amortization of deferred financing costs, average outstanding balance, and average stated interest rate on the 2028 Notes for the three and six months ended June 30, 2026 and 2025:</w:t>
      </w:r>
    </w:p>
    <w:p>
      <w:pPr>
        <w:pStyle w:val="TextBody"/>
        <w:bidi w:val="0"/>
        <w:spacing w:before="120" w:after="283"/>
        <w:jc w:val="both"/>
        <w:rPr/>
      </w:pPr>
      <w:r>
        <w:rPr/>
        <w:t> </w:t>
      </w:r>
    </w:p>
    <w:tbl>
      <w:tblPr>
        <w:tblW w:w="8630" w:type="dxa"/>
        <w:jc w:val="left"/>
        <w:tblInd w:w="0" w:type="dxa"/>
        <w:tblLayout w:type="fixed"/>
        <w:tblCellMar>
          <w:top w:w="28" w:type="dxa"/>
          <w:left w:w="28" w:type="dxa"/>
          <w:bottom w:w="28" w:type="dxa"/>
          <w:right w:w="28" w:type="dxa"/>
        </w:tblCellMar>
      </w:tblPr>
      <w:tblGrid>
        <w:gridCol w:w="3081"/>
        <w:gridCol w:w="371"/>
        <w:gridCol w:w="1139"/>
        <w:gridCol w:w="456"/>
        <w:gridCol w:w="883"/>
        <w:gridCol w:w="302"/>
        <w:gridCol w:w="928"/>
        <w:gridCol w:w="372"/>
        <w:gridCol w:w="1098"/>
      </w:tblGrid>
      <w:tr>
        <w:trPr/>
        <w:tc>
          <w:tcPr>
            <w:tcW w:w="308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70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Amortization of original issue discount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2029 Notes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20, 2026, the Company entered into a note purchase agreement (the “2029 Note Purchase Agreement”), by and among the Company and each purchaser named therein, in connection with the issuance and sale of $50.0 million in aggregate principal amount of the Company’s 7.50% notes due 2029 (the “2029 Notes”) at a price of 100% of par, pursuant to an effective shelf registration statement on Form N-2, as amended, which was declared effective on February 10, 2025. The Company used the net proceeds of the offering to repay an aggregate principal amount of $40.0 million of the 2026 Notes and to pay down existing indebtedness. The 2029 Notes were issued on March 24,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conjunction therewith, the Company and the Trustee entered into a Sixth Supplemental Indenture relating to the 2029 Notes (the “Sixth Supplemental Indenture”), which supplements that certain Base Indenture, dated as of October 10, 2012 (as may be further amended, supplemented or otherwise modified from time to time, the “Base Indenture” and, together with the Sixth Supplemental Indenture, the “2029 Notes Indenture”).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2029 Notes will mature on September 24, 2029. The 2029 Notes may be redeemed in whole or in part at the Company’s option at any time or from time to time prior to April 24, 2029 at par value plus a “make-whole” premium calculated in accordance with the terms under “optional redemption” in the 2029 Notes Indenture and at par value on April 24, 2029 or thereafter.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2029 Notes bear interest at the rate of 7.50% per year, payable semi-annually on April 30 and October 30 of each year, commencing on April 30, 2026. The 2029 Notes are general unsecured obligations of the Company that rank senior in right of payment to all of the Company’s existing and future indebtedness that is expressly subordinated in right of payment to the 2029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2029 Notes Indenture contains certain covenants, including covenants requiring the Company to comply with the asset coverage requirements of Sections 18(a)(1)(A) and 18(a)(1)(B) as modified by Section 61(a)(2) of the 1940 Act, as amended, whether or not it is subject to those requirements, and to provide financial information to the holders of the 2029 Notes and the Trustee if the Company is no longer subject to the reporting requirements under the Exchange Act. Additionally, the Company has agreed to use its commercially reasonable efforts to maintain a rating of the Notes from a rating agency, as defined in the Indenture, as long as the Notes are outstanding. These covenants are subject to important limitations and exceptions that are described in the Indenture. As of June 30, 2026, the Company is in compliance with all associated covenants.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deferred financing costs, average outstanding balance, and average stated interest rate on the 2029 Notes for the three months ended June 30, 2026 and the period from March 24, 2026 through June 30, 2026:</w:t>
      </w:r>
    </w:p>
    <w:tbl>
      <w:tblPr>
        <w:tblW w:w="8123" w:type="dxa"/>
        <w:jc w:val="left"/>
        <w:tblInd w:w="0" w:type="dxa"/>
        <w:tblLayout w:type="fixed"/>
        <w:tblCellMar>
          <w:top w:w="28" w:type="dxa"/>
          <w:left w:w="28" w:type="dxa"/>
          <w:bottom w:w="28" w:type="dxa"/>
          <w:right w:w="28" w:type="dxa"/>
        </w:tblCellMar>
      </w:tblPr>
      <w:tblGrid>
        <w:gridCol w:w="2946"/>
        <w:gridCol w:w="538"/>
        <w:gridCol w:w="1652"/>
        <w:gridCol w:w="241"/>
        <w:gridCol w:w="579"/>
        <w:gridCol w:w="1776"/>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period March 24,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through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left"/>
        <w:rPr>
          <w:rFonts w:ascii="Times New Roman" w:hAnsi="Times New Roman"/>
          <w:b/>
          <w:i/>
          <w:color w:val="000000"/>
          <w:sz w:val="16"/>
        </w:rPr>
      </w:pPr>
      <w:r>
        <w:rPr>
          <w:rFonts w:ascii="Times New Roman" w:hAnsi="Times New Roman"/>
          <w:b/>
          <w:i/>
          <w:color w:val="000000"/>
          <w:sz w:val="16"/>
        </w:rPr>
        <w:t>2030 Notes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October 10, 2025, the Company entered into a 2028 &amp; 2030 Note Purchase Agreement, by and among the Company and each purchaser named therein, in connection with the issuance and sale of $75.0 million in aggregate principal amount of the Company’s 7.75% notes due 2030 (the “2030 Notes”) at a price of 97.75% of par, pursuant to an effective shelf registration statement on Form N-2, as amended, which was declared effective on February 10, 2025. The net proceeds to the Company were approximately $72.5 million, which is net of a discount and allocated deferred financing costs. The Company used the net proceeds of the offering to redeem in full its 4.875% Notes due 2026 and to pay down existing indebtedness. The 2030 Notes were issued on October 15,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conjunction therewith, the Company and the Trustee entered into a Fifth Supplemental Indenture relating to the 2030 Notes (the “Fifth Supplemental Indenture”), which supplements the Base Indenture (together with the Fifth Supplemental Indenture, the “2030 Notes Indenture”).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2030 Notes will mature on October 15, 2030. The 2030 Notes may be redeemed in whole or in part at the Company’s option at any time or from time to time prior to April 15, 2030 at par value plus a “make-whole” premium calculated in accordance with the terms under “optional redemption” in the Indenture and at par value on April 15, 2030 or thereafter.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2030 Notes bear interest at the rate of 7.75% per year, payable semi-annually on April 30 and October 30 of each year, commencing on October 30, 2025. The Notes are general unsecured obligations of the Company that rank senior in right of payment to all of the Company’s existing and future indebtedness that is expressly subordinated in right of payment to the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2030 Notes Indenture contains certain covenants, including covenants requiring the Company to comply with the asset coverage requirements of Sections 18(a)(1)(A) and 18(a)(1)(B) as modified by Section 61(a)(2) of the 1940 Act, as amended, whether or not it is subject to those requirements, and to provide financial information to the holders of the Notes and the Trustee if the Company is no longer subject to the reporting requirements under the Exchange Act. Additionally, the Company has agreed to use its commercially reasonable efforts to maintain a rating of the 2030 Notes from a rating agency, as defined in the 2030 Notes Indenture, as long as the Notes are outstanding. These covenants are subject to important limitations and exceptions that are described in the 2030 Notes Indenture. As of June 30, 2026, the Company is in compliance with all associated covenants.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addition, on the occurrence of a “change of control repurchase event,” as defined in the 2030 Notes Indenture, the Company will generally be required to make an offer to purchase the outstanding Notes at a price equal to 100% of the principal amount of such Notes plus accrued and unpaid interest to the repurchase date. Also, on the occurrence of an “Interest Rate Adjustment Event,” as defined in the 2030 Notes Indenture, the Notes will bear interest at a fixed rate per annum which is 0.75% in excess of the initial rate of the Notes, as applicable, from the date of the occurrence of the Interest Rate Adjustment Event to and until the date on which the Interest Rate Adjustment Event is no longer continuing.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original issue discount, amortization of deferred financing costs, average outstanding balance, and average stated interest rate on the 2030 Notes for the three and six months ended June 30, 2026 and 2025:</w:t>
      </w:r>
    </w:p>
    <w:tbl>
      <w:tblPr>
        <w:tblW w:w="8630" w:type="dxa"/>
        <w:jc w:val="left"/>
        <w:tblInd w:w="0" w:type="dxa"/>
        <w:tblLayout w:type="fixed"/>
        <w:tblCellMar>
          <w:top w:w="28" w:type="dxa"/>
          <w:left w:w="28" w:type="dxa"/>
          <w:bottom w:w="28" w:type="dxa"/>
          <w:right w:w="28" w:type="dxa"/>
        </w:tblCellMar>
      </w:tblPr>
      <w:tblGrid>
        <w:gridCol w:w="3081"/>
        <w:gridCol w:w="371"/>
        <w:gridCol w:w="1139"/>
        <w:gridCol w:w="456"/>
        <w:gridCol w:w="883"/>
        <w:gridCol w:w="302"/>
        <w:gridCol w:w="928"/>
        <w:gridCol w:w="372"/>
        <w:gridCol w:w="1098"/>
      </w:tblGrid>
      <w:tr>
        <w:trPr/>
        <w:tc>
          <w:tcPr>
            <w:tcW w:w="308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70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2,906</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Amortization of original issue discount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3,118</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bidi w:val="0"/>
        <w:spacing w:before="120" w:after="283"/>
        <w:jc w:val="left"/>
        <w:rPr>
          <w:rFonts w:ascii="Times New Roman" w:hAnsi="Times New Roman"/>
          <w:b/>
          <w:i/>
          <w:color w:val="000000"/>
          <w:sz w:val="16"/>
        </w:rPr>
      </w:pPr>
      <w:r>
        <w:rPr>
          <w:rFonts w:ascii="Times New Roman" w:hAnsi="Times New Roman"/>
          <w:b/>
          <w:i/>
          <w:color w:val="000000"/>
          <w:sz w:val="16"/>
        </w:rPr>
        <w:t>2032 Convertible Notes</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Effective July 15, 2025, as a result of the completion of the LRFC Acquisition, the Company succeeded to the obligations of LRFC under LRFC’s 5.25% fixed rate convertible notes due April 1, 2032 (the “2032 Convertible Notes”). The 2032 Convertible Notes were originally issued by LRFC on April 1, 2022, in an aggregate principal amount of $15.0 million. At the time of the LRFC Acquisition, the unamortized portion of the discount and deferred financing costs were $0.1 million and $0.02 million, respectively, and have continued to be amortized throughout the period.</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As of July 15, 2025, the Company assumed $2.5 million in outstanding principal amount of the 2032 Convertible Notes. The notes are convertible, at the holder’s option and at any time prior to maturity, into shares of the Company’s common stock based on a conversion formula defined in the governing purchase agreement (the “Purchase Agreement”). The maximum number of shares issuable under the Purchase Agreement is 539,503, subject to adjustment for stock splits and other anti-dilutive provisions. The conversion price is equal to the average closing sale price of the Company’s common stock over the five trading days immediately preceding the conversion date, subject to a quarterly conversion cap of $7.5 million in principal amount.</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embedded conversion feature has been evaluated under U.S. GAAP and determined not to require separate accounting as a derivative instrument.</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2032 Convertible Notes bear interest at a fixed rate of 6.00% per annum, payable semi-annually on March 31 and September 30 of each year. The interest rate reflects a step-up from the original 5.25% rate following a downgrade below Investment Grade by a NRSRO on March 28, 2024. Additional interest of 2.0% per annum applies to overdue interest payments and during the continuance of an event of default.</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The notes are redeemable prior to maturity and are not subject to a sinking fund. In the event of a “Change in Control Repurchase Event” or “Delisting Event,” as defined in the Purchase Agreement, the Company is generally required to offer to repurchase the notes at 100% of the principal amount plus accrued and unpaid interest.</w:t>
      </w:r>
    </w:p>
    <w:p>
      <w:pPr>
        <w:pStyle w:val="TextBody"/>
        <w:bidi w:val="0"/>
        <w:spacing w:before="60" w:after="60"/>
        <w:jc w:val="both"/>
        <w:rPr>
          <w:rFonts w:ascii="Times New Roman" w:hAnsi="Times New Roman"/>
          <w:color w:val="000000"/>
          <w:sz w:val="16"/>
        </w:rPr>
      </w:pPr>
      <w:r>
        <w:rPr>
          <w:rFonts w:ascii="Times New Roman" w:hAnsi="Times New Roman"/>
          <w:color w:val="000000"/>
          <w:sz w:val="16"/>
        </w:rPr>
        <w:t>On October 7, 2025, the Company obtained a BBB- rating from a NRSRO with respect to the 2032 Convertible Notes. Starting on October 7, 2025, as a result of the rating, the 2032 Convertible Notes have a fixed interest rate of 5.25% per annum, which remained the rate applicable from the date of the change through June 30,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original issue discount, amortization of deferred financing costs, average outstanding balance, and average stated interest rate on the 2032 Convertible Notes for the three and six months ended June 30, 2026 and 2025:</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tbl>
      <w:tblPr>
        <w:tblW w:w="8629" w:type="dxa"/>
        <w:jc w:val="left"/>
        <w:tblInd w:w="0" w:type="dxa"/>
        <w:tblLayout w:type="fixed"/>
        <w:tblCellMar>
          <w:top w:w="28" w:type="dxa"/>
          <w:left w:w="28" w:type="dxa"/>
          <w:bottom w:w="28" w:type="dxa"/>
          <w:right w:w="28" w:type="dxa"/>
        </w:tblCellMar>
      </w:tblPr>
      <w:tblGrid>
        <w:gridCol w:w="3081"/>
        <w:gridCol w:w="395"/>
        <w:gridCol w:w="1030"/>
        <w:gridCol w:w="485"/>
        <w:gridCol w:w="939"/>
        <w:gridCol w:w="319"/>
        <w:gridCol w:w="831"/>
        <w:gridCol w:w="392"/>
        <w:gridCol w:w="1157"/>
      </w:tblGrid>
      <w:tr>
        <w:trPr/>
        <w:tc>
          <w:tcPr>
            <w:tcW w:w="30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6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Amortization of original issue discount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bidi w:val="0"/>
        <w:spacing w:before="120" w:after="283"/>
        <w:jc w:val="left"/>
        <w:rPr>
          <w:rFonts w:ascii="Times New Roman" w:hAnsi="Times New Roman"/>
          <w:b/>
          <w:i/>
          <w:color w:val="000000"/>
          <w:sz w:val="16"/>
        </w:rPr>
      </w:pPr>
      <w:r>
        <w:rPr>
          <w:rFonts w:ascii="Times New Roman" w:hAnsi="Times New Roman"/>
          <w:b/>
          <w:i/>
          <w:color w:val="000000"/>
          <w:sz w:val="16"/>
        </w:rPr>
        <w:t>Revolving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December 18, 2019, Great Lakes Portman Ridge Funding LLC (“GLPRF LLC”), our wholly-owned subsidiary, entered into a senior secured revolving credit facility (as amended, restated or otherwise modified from time to time, the “Revolving Credit Facility”) with JPMorgan Chase Bank, National Association (“JPM”). JPM serves as administrative agent, the Trustee serves as collateral agent, securities intermediary and collateral administrator, and we serve as portfolio manager under the Revolving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GLPRF LLC is required to utilize a minimum of the commitments under the Revolving Credit Facility. Unused amounts below such minimum utilization amount accrue interest as if such amounts are outstanding as borrowings under the Revolving Credit Facility. In addition, GLPRF LLC pays a non-usage fee during the reinvestment period on the average daily unborrowed portion of the financing commitments in excess of such minimum utilization amount.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initial principal amount of the Revolving Credit Facility was $115.0 million. The Revolving Credit Facility has an accordion feature, subject to the satisfaction of various conditions, which could bring total commitments under the Revolving Credit Facility to up to $215.0 million. Proceeds from borrowings under the Revolving Credit Facility may be used to fund portfolio investments by GLPRF LLC and to make advances under delayed draw term loans where GLPRF LLC is a lender.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GLPRF LLC’s obligations to the lenders under the Revolving Credit Facility are secured by a first priority security interest in all of GLPRF LLC’s portfolio of investments and cash. The obligations of GLPRF LLC under the Revolving Credit Facility are non-recourse to us, and our exposure under the Revolving Credit Facility is limited to the value of our investment in GLPRF LLC. 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we are no longer the portfolio manager of GLPRF LLC.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April 29, 2022, GLPRF LLC amended the Revolving Credit Facility with JPM as administrative agent. The amended agreement replaced three-month SOFR as the benchmark interest rate and reduced the applicable margin to 2.80% per annum from 2.85% per annum.</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July 23, 2024, GLPRF LLC amended the Revolving Credit Facility with JPM as administrative agent. The amended agreement, among other things, (i) provided for a committed increase to the aggregate principal amount of the Revolving Credit Facility in an amount not to exceed $85.0 million, for a total commitment of $200.0 million, which increase became effective on August 20, 2024, (ii) provided for a committed seven-day bridge advance in an aggregate principal amount of $18.3 million, which advance became effective on August 20, 2024, (iii) reduced the applicable margin on the Revolving Credit Facility to 2.50% per annum, (iv) extended the period in which the Company may request advances under the Revolving Credit Facility to August 29, 2026, (v) extended the stated maturity of the Revolving Credit Facility to August 29, 2027, (vi) reduced the requirement to utilize a minimum of commitments under the Revolving Credit Facility to 70%, (vii) reduced the non-usage fee applicable during the reinvestment period to 0.55% per annum on the average daily unborrowed portion of the financing commitments in excess of the minimum utilization amount, (viii) extended the non-call period under the Revolving Credit Facility to April 29, 2025, and (ix) provided for certain fees to be paid to the administrative agent and the lenders in connection therewith.</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9, 2026, GLPRF LLC amended the Revolving Credit Facility with JPM as administrative agent. The amended agreement, among other things, provided for a decrease in the aggregate financing commitments under the Revolving Credit Facility to $125.0 million.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June 30, 2026, GLPRF LLC was in compliance with all of its debt covenants and approximately $66.5 million principal amount of borrowings was outstanding under the Revolving Credit Facility. The assets pledged to secure the Revolving Credit Facility had a fair value of $149.0 million as of June 30, 2026. As of December 31, 2025, approximately $107.6 million principal amount of borrowings was outstanding under the Revolving Credit Facility. The assets pledged to secure the Revolving Credit Facility had a fair value of $218.8 million as of December 31,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deferred financing costs, unused commitment fees, average outstanding balance, and average stated interest rate on the Revolving Credit Facility for the three and six months ended June 30, 2026 and 2025:</w:t>
      </w:r>
    </w:p>
    <w:p>
      <w:pPr>
        <w:pStyle w:val="TextBody"/>
        <w:bidi w:val="0"/>
        <w:spacing w:before="120" w:after="283"/>
        <w:jc w:val="both"/>
        <w:rPr/>
      </w:pPr>
      <w:r>
        <w:rPr/>
        <w:t> </w:t>
      </w:r>
    </w:p>
    <w:tbl>
      <w:tblPr>
        <w:tblW w:w="9081" w:type="dxa"/>
        <w:jc w:val="left"/>
        <w:tblInd w:w="0" w:type="dxa"/>
        <w:tblLayout w:type="fixed"/>
        <w:tblCellMar>
          <w:top w:w="28" w:type="dxa"/>
          <w:left w:w="28" w:type="dxa"/>
          <w:bottom w:w="28" w:type="dxa"/>
          <w:right w:w="28" w:type="dxa"/>
        </w:tblCellMar>
      </w:tblPr>
      <w:tblGrid>
        <w:gridCol w:w="2946"/>
        <w:gridCol w:w="290"/>
        <w:gridCol w:w="890"/>
        <w:gridCol w:w="356"/>
        <w:gridCol w:w="290"/>
        <w:gridCol w:w="1023"/>
        <w:gridCol w:w="241"/>
        <w:gridCol w:w="270"/>
        <w:gridCol w:w="829"/>
        <w:gridCol w:w="332"/>
        <w:gridCol w:w="270"/>
        <w:gridCol w:w="953"/>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2,642</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Unused commitment fees</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3,291</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74,319</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147,379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85,340</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KeyBank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Effective July 15, 2025, as a result of the completion of the LRFC Acquisition, the Company succeeded to the obligations of the LRFC’s wholly owned subsidiary, Capitala Business Lending, LLC (“CBL”), under a senior secured revolving credit facility (as amended, the “KeyBank Credit Facility”). The KeyBank Credit Facility was originally entered into on October 30, 2020, and has been subsequently amended on May 10, 2022, October 20, 2022, and August 21, 2024. The KeyBank Credit Facility provides for secured borrowings of up to $75.0 million, with an uncommitted accordion feature allowing for additional borrowings of up to $125.0 million, subject to availability and borrowing restrictions under the 1940 Act. At the time of the LRFC Acquisition, the unamortized deferred financing costs were $1.0 million, and have continued to be amortized throughout the period.</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 xml:space="preserve">The revolving period under the KeyBank Credit Facility extends through August 21, 2027, with a stated maturity date of August 21, 2029, unless terminated earlier due to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an event of default or other conditions. Borrowings under the KeyBank Credit Facility bear interest at a rate equal to 1-month Term SOFR plus 2.80% during the reinvestment period and 3.20% thereafter, subject to a 0.40% SOFR floor. Interest and fees are payable quarterly. CBL will also pay an unused commitment fee at a rate of (1) 0.75% if utilization is less than or equal to 50.0%, (2) 0.50% if utilization is greater than 50.0% but less than or equal to 75.0%, or (3) 0.25% if utilization is greater than 75.0%, per annum on the unutilized portion of the aggregate commitments under the KeyBank Credit Facility.</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As of June 30, 2026, outstanding borrowings under the KeyBank Credit Facility were $47.5 million and assets pledged to secure the KeyBank Credit Facility had a fair value of $124.5 million. As of December 31, 2025, outstanding borrowings under the KeyBank Credit Facility were $42.7 million and assets pledged to secure the KeyBank Credit Facility had a fair value of $104.8 million.</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The KeyBank Credit Facility is secured by a first lien security interest on substantially all of the assets of CBL and includes customary affirmative and negative covenants, including limitations on the incurrence of additional indebtedness and liens, as well as standard events of default for senior secured revolving credit facilities of this nature.</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following table summarizes the interest expense, amortization of deferred financing costs, unused commitment fees, average outstanding balance, and average stated interest rate on the KeyBank Credit Facility for the three and six months ended June 30, 2026 and 2025:</w:t>
      </w:r>
    </w:p>
    <w:tbl>
      <w:tblPr>
        <w:tblW w:w="8495" w:type="dxa"/>
        <w:jc w:val="left"/>
        <w:tblInd w:w="0" w:type="dxa"/>
        <w:tblLayout w:type="fixed"/>
        <w:tblCellMar>
          <w:top w:w="28" w:type="dxa"/>
          <w:left w:w="28" w:type="dxa"/>
          <w:bottom w:w="28" w:type="dxa"/>
          <w:right w:w="28" w:type="dxa"/>
        </w:tblCellMar>
      </w:tblPr>
      <w:tblGrid>
        <w:gridCol w:w="2946"/>
        <w:gridCol w:w="371"/>
        <w:gridCol w:w="1139"/>
        <w:gridCol w:w="456"/>
        <w:gridCol w:w="883"/>
        <w:gridCol w:w="302"/>
        <w:gridCol w:w="928"/>
        <w:gridCol w:w="372"/>
        <w:gridCol w:w="1098"/>
      </w:tblGrid>
      <w:tr>
        <w:trPr/>
        <w:tc>
          <w:tcPr>
            <w:tcW w:w="29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70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Deferred financing costs</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Unused commitment fees</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Total interest and financing expenses</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1,681</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outstanding balance</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47,252</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45,646</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N/A</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Average stated interest rate</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Financial Instruments Disclosed, But Not Carried, At Fair Value</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The following table presents the outstanding principal and fair value of the Company’s financial liabilities disclosed, but not carried, at fair value as of June 30, 2026, and the level of each financial liability within the fair value hierarchy (dollars in thousands):</w:t>
      </w:r>
    </w:p>
    <w:tbl>
      <w:tblPr>
        <w:tblW w:w="10205" w:type="dxa"/>
        <w:jc w:val="left"/>
        <w:tblInd w:w="0" w:type="dxa"/>
        <w:tblLayout w:type="fixed"/>
        <w:tblCellMar>
          <w:top w:w="28" w:type="dxa"/>
          <w:left w:w="28" w:type="dxa"/>
          <w:bottom w:w="28" w:type="dxa"/>
          <w:right w:w="28" w:type="dxa"/>
        </w:tblCellMar>
      </w:tblPr>
      <w:tblGrid>
        <w:gridCol w:w="4707"/>
        <w:gridCol w:w="373"/>
        <w:gridCol w:w="1319"/>
        <w:gridCol w:w="146"/>
        <w:gridCol w:w="196"/>
        <w:gridCol w:w="691"/>
        <w:gridCol w:w="146"/>
        <w:gridCol w:w="216"/>
        <w:gridCol w:w="382"/>
        <w:gridCol w:w="146"/>
        <w:gridCol w:w="237"/>
        <w:gridCol w:w="419"/>
        <w:gridCol w:w="146"/>
        <w:gridCol w:w="196"/>
        <w:gridCol w:w="691"/>
        <w:gridCol w:w="194"/>
      </w:tblGrid>
      <w:tr>
        <w:trPr/>
        <w:tc>
          <w:tcPr>
            <w:tcW w:w="47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III</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 Notes</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34,475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 Notes</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Notes</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Portman Ridge Funding LLC Revolving Credit Facility</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66,509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47,541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283,505</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60"/>
        <w:jc w:val="both"/>
        <w:rPr>
          <w:rFonts w:ascii="Times New Roman" w:hAnsi="Times New Roman"/>
          <w:color w:val="000000"/>
          <w:sz w:val="16"/>
        </w:rPr>
      </w:pPr>
      <w:r>
        <w:rPr>
          <w:rFonts w:ascii="Times New Roman" w:hAnsi="Times New Roman"/>
          <w:color w:val="000000"/>
          <w:sz w:val="16"/>
        </w:rPr>
        <w:t>The following table presents the outstanding principal and fair value of the Company’s financial liabilities disclosed, but not carried, at fair value as of December 31, 2025, and the level of each financial liability within the fair value hierarchy (dollars in thousands):</w:t>
      </w:r>
    </w:p>
    <w:tbl>
      <w:tblPr>
        <w:tblW w:w="10205" w:type="dxa"/>
        <w:jc w:val="left"/>
        <w:tblInd w:w="0" w:type="dxa"/>
        <w:tblLayout w:type="fixed"/>
        <w:tblCellMar>
          <w:top w:w="28" w:type="dxa"/>
          <w:left w:w="28" w:type="dxa"/>
          <w:bottom w:w="28" w:type="dxa"/>
          <w:right w:w="28" w:type="dxa"/>
        </w:tblCellMar>
      </w:tblPr>
      <w:tblGrid>
        <w:gridCol w:w="4707"/>
        <w:gridCol w:w="373"/>
        <w:gridCol w:w="1319"/>
        <w:gridCol w:w="146"/>
        <w:gridCol w:w="196"/>
        <w:gridCol w:w="691"/>
        <w:gridCol w:w="146"/>
        <w:gridCol w:w="216"/>
        <w:gridCol w:w="382"/>
        <w:gridCol w:w="146"/>
        <w:gridCol w:w="237"/>
        <w:gridCol w:w="419"/>
        <w:gridCol w:w="146"/>
        <w:gridCol w:w="196"/>
        <w:gridCol w:w="691"/>
        <w:gridCol w:w="194"/>
      </w:tblGrid>
      <w:tr>
        <w:trPr/>
        <w:tc>
          <w:tcPr>
            <w:tcW w:w="47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III</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48,875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 Notes</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34,475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Notes</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Portman Ridge Funding LLC Revolving Credit Facility</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107,629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308,853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308,853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16"/>
        </w:rPr>
      </w:pPr>
      <w:r>
        <w:rPr>
          <w:rFonts w:ascii="Times New Roman" w:hAnsi="Times New Roman"/>
          <w:b/>
          <w:i/>
          <w:color w:val="000000"/>
          <w:sz w:val="16"/>
        </w:rPr>
        <w:t>Senior Securities</w:t>
      </w:r>
      <w:r>
        <w:rPr>
          <w:rFonts w:ascii="Times New Roman" w:hAnsi="Times New Roman"/>
          <w:color w:val="000000"/>
          <w:sz w:val="16"/>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Information about the Company’s senior securities is shown as of the dates indicated in the below table (dollars in thousands, except per unit amounts):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16"/>
        <w:gridCol w:w="146"/>
        <w:gridCol w:w="239"/>
        <w:gridCol w:w="847"/>
        <w:gridCol w:w="146"/>
        <w:gridCol w:w="146"/>
        <w:gridCol w:w="357"/>
        <w:gridCol w:w="936"/>
        <w:gridCol w:w="146"/>
        <w:gridCol w:w="146"/>
        <w:gridCol w:w="963"/>
        <w:gridCol w:w="1708"/>
        <w:gridCol w:w="146"/>
        <w:gridCol w:w="146"/>
        <w:gridCol w:w="309"/>
        <w:gridCol w:w="812"/>
        <w:gridCol w:w="196"/>
      </w:tblGrid>
      <w:tr>
        <w:trP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 and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Amount</w:t>
              <w:br/>
              <w:t>Outstanding</w:t>
              <w:br/>
              <w:t>Exclusive of</w:t>
              <w:br/>
              <w:t>Treasury</w:t>
              <w:br/>
              <w:t>Securities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Asset Coverage per</w:t>
              <w:br/>
              <w:t>Unit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Involuntary Liquidating Preference per Unit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Market</w:t>
              <w:br/>
              <w:t>Value per Unit</w:t>
            </w:r>
            <w:r>
              <w:rPr>
                <w:rFonts w:ascii="Times New Roman" w:hAnsi="Times New Roman"/>
                <w:b/>
                <w:color w:val="000000"/>
                <w:sz w:val="11"/>
              </w:rPr>
              <w:t>(4)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Convertible Notes due March 15,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7.375% Notes due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Notes Issued by KCAP Senior Funding 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6.125% Notes due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KCAP Funding I, LLC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2018-2 Secured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4.875% Notes due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2032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KeyBank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tbl>
      <w:tblPr>
        <w:tblW w:w="9799" w:type="dxa"/>
        <w:jc w:val="left"/>
        <w:tblInd w:w="0" w:type="dxa"/>
        <w:tblLayout w:type="fixed"/>
        <w:tblCellMar>
          <w:top w:w="28" w:type="dxa"/>
          <w:left w:w="28" w:type="dxa"/>
          <w:bottom w:w="28" w:type="dxa"/>
          <w:right w:w="28" w:type="dxa"/>
        </w:tblCellMar>
      </w:tblPr>
      <w:tblGrid>
        <w:gridCol w:w="1336"/>
        <w:gridCol w:w="146"/>
        <w:gridCol w:w="276"/>
        <w:gridCol w:w="849"/>
        <w:gridCol w:w="146"/>
        <w:gridCol w:w="146"/>
        <w:gridCol w:w="418"/>
        <w:gridCol w:w="1097"/>
        <w:gridCol w:w="146"/>
        <w:gridCol w:w="146"/>
        <w:gridCol w:w="1244"/>
        <w:gridCol w:w="2206"/>
        <w:gridCol w:w="146"/>
        <w:gridCol w:w="146"/>
        <w:gridCol w:w="135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 and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Amount</w:t>
              <w:br/>
              <w:t>Outstanding</w:t>
              <w:br/>
              <w:t>Exclusive of</w:t>
              <w:br/>
              <w:t>Treasury</w:t>
              <w:br/>
              <w:t>Securities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Asset Coverage per</w:t>
              <w:br/>
              <w:t>Unit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Involuntary Liquidating Preference per Unit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Market</w:t>
              <w:br/>
              <w:t>Value per Unit</w:t>
            </w:r>
            <w:r>
              <w:rPr>
                <w:rFonts w:ascii="Times New Roman" w:hAnsi="Times New Roman"/>
                <w:b/>
                <w:color w:val="000000"/>
                <w:sz w:val="11"/>
              </w:rPr>
              <w:t>(4)</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Total amount of each class of senior securities outstanding at the end of the period presented.</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both"/>
        <w:rPr>
          <w:rFonts w:ascii="Times New Roman" w:hAnsi="Times New Roman"/>
          <w:sz w:val="16"/>
        </w:rPr>
      </w:pPr>
      <w:r>
        <w:rPr>
          <w:rFonts w:ascii="Times New Roman" w:hAnsi="Times New Roman"/>
          <w:color w:val="000000"/>
          <w:sz w:val="14"/>
        </w:rPr>
        <w:t>Asset coverage per unit is the ratio of the carrying value of the Company’s total consolidated assets, less all liabilities and indebtedness not represented by senior securities, to the aggregate amount of senior securities representing indebtedness. Asset coverage per unit is expressed in terms of dollar amounts per $1,000</w:t>
      </w:r>
      <w:r>
        <w:rPr>
          <w:rFonts w:ascii="Times New Roman" w:hAnsi="Times New Roman"/>
          <w:color w:val="000000"/>
          <w:sz w:val="16"/>
        </w:rPr>
        <w:t xml:space="preserve"> </w:t>
      </w:r>
      <w:r>
        <w:rPr>
          <w:rFonts w:ascii="Times New Roman" w:hAnsi="Times New Roman"/>
          <w:color w:val="000000"/>
          <w:sz w:val="14"/>
        </w:rPr>
        <w:t>of indebtedness.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both"/>
        <w:rPr>
          <w:rFonts w:ascii="Times New Roman" w:hAnsi="Times New Roman"/>
          <w:sz w:val="16"/>
        </w:rPr>
      </w:pPr>
      <w:r>
        <w:rPr>
          <w:rFonts w:ascii="Times New Roman" w:hAnsi="Times New Roman"/>
          <w:color w:val="000000"/>
          <w:sz w:val="14"/>
        </w:rPr>
        <w:t>Not applicable, except with respect to the 7.375% Notes due 2019 and the 6.125% Notes due 2022, as other debt securities are not registered for public trading. For the years ended December 31, 2017, 2016, and 2015, the average market value per $1,000</w:t>
      </w:r>
      <w:r>
        <w:rPr>
          <w:rFonts w:ascii="Times New Roman" w:hAnsi="Times New Roman"/>
          <w:color w:val="000000"/>
          <w:sz w:val="16"/>
        </w:rPr>
        <w:t xml:space="preserve"> </w:t>
      </w:r>
      <w:r>
        <w:rPr>
          <w:rFonts w:ascii="Times New Roman" w:hAnsi="Times New Roman"/>
          <w:color w:val="000000"/>
          <w:sz w:val="14"/>
        </w:rPr>
        <w:t>of par value of the 7.375% Notes due 2019 was $1,016.04, $1,000.00, and $1,011.96, respectively. For the years-ended December 31, 2020, 2019 and 2018 and for the period from August 14, 2017 (date of issuance) to December 31, 2017, the average market value per $1,000</w:t>
      </w:r>
      <w:r>
        <w:rPr>
          <w:rFonts w:ascii="Times New Roman" w:hAnsi="Times New Roman"/>
          <w:color w:val="000000"/>
          <w:sz w:val="16"/>
        </w:rPr>
        <w:t xml:space="preserve"> </w:t>
      </w:r>
      <w:r>
        <w:rPr>
          <w:rFonts w:ascii="Times New Roman" w:hAnsi="Times New Roman"/>
          <w:color w:val="000000"/>
          <w:sz w:val="14"/>
        </w:rPr>
        <w:t>of par value of the 6.125% Notes due 2022 was $953.20, $1,009.93, $1,009.20</w:t>
      </w:r>
      <w:r>
        <w:rPr>
          <w:rFonts w:ascii="Times New Roman" w:hAnsi="Times New Roman"/>
          <w:color w:val="000000"/>
          <w:sz w:val="16"/>
        </w:rPr>
        <w:t xml:space="preserve"> </w:t>
      </w:r>
      <w:r>
        <w:rPr>
          <w:rFonts w:ascii="Times New Roman" w:hAnsi="Times New Roman"/>
          <w:color w:val="000000"/>
          <w:sz w:val="14"/>
        </w:rPr>
        <w:t>and $1,006.00, respectively. Average market value is computed by taking the daily average of the closing prices for the period.</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7. DISTRIBUTABLE TAXABLE INCOME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distributions, if any, are determined by the Board. The Company anticipates distributing substantially all of its net investment income, within the Subchapter M rules, and thus the Company anticipates that it will not incur any federal or state income tax at the RIC level. As a RIC, the Company is also subject to a federal excise tax based on distributive requirements of its taxable income on a calendar year basis. Depending on the level of taxable income earned in a tax year, the Company may choose to carry forward taxable income in excess of current year distributions into the next tax year and pay a 4% excise tax on such income, to the extent required.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may distribute taxable dividends that are payable in cash or shares of its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with respect to publicly offered RICs indicating that this rule will apply even where the total amount of cash that may be distributed is limited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the Company decides to make any distributions consistent with this guidance that are payable in part in its stock, taxable stockholders receiving such dividends will be required to include the full amount of the dividend (whether received in cash, shares of the Company’s stock, or a combination thereof) as ordinary income (or as long-term capital gain to the extent such distribution is properly reported as a capital gain dividend) to the extent of the Company’s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the Company’s stock at the time of the sale. Furthermore, with respect to non-U.S. stockholders, the Company may be required to withhold U.S. tax with respect to such dividends, including in respect of all or a portion of such dividend that is payable in stock. In addition, if a significant number of the Company’s stockholders determine to sell shares of its stock in order to pay taxes owed on dividends, it may put downward pressure on the trading price of the Company’s stock.</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reconciles net increase (decrease) in net assets resulting from operations to taxable income for the six months ended June 30, 2026 and 2025:</w:t>
      </w:r>
    </w:p>
    <w:p>
      <w:pPr>
        <w:pStyle w:val="TextBody"/>
        <w:bidi w:val="0"/>
        <w:jc w:val="both"/>
        <w:rPr/>
      </w:pPr>
      <w:r>
        <w:rPr/>
        <w:t> </w:t>
      </w:r>
    </w:p>
    <w:tbl>
      <w:tblPr>
        <w:tblW w:w="8811" w:type="dxa"/>
        <w:jc w:val="left"/>
        <w:tblInd w:w="0" w:type="dxa"/>
        <w:tblLayout w:type="fixed"/>
        <w:tblCellMar>
          <w:top w:w="28" w:type="dxa"/>
          <w:left w:w="28" w:type="dxa"/>
          <w:bottom w:w="28" w:type="dxa"/>
          <w:right w:w="28" w:type="dxa"/>
        </w:tblCellMar>
      </w:tblPr>
      <w:tblGrid>
        <w:gridCol w:w="5656"/>
        <w:gridCol w:w="146"/>
        <w:gridCol w:w="264"/>
        <w:gridCol w:w="892"/>
        <w:gridCol w:w="224"/>
        <w:gridCol w:w="197"/>
        <w:gridCol w:w="264"/>
        <w:gridCol w:w="811"/>
        <w:gridCol w:w="166"/>
        <w:gridCol w:w="191"/>
      </w:tblGrid>
      <w:tr>
        <w:trPr/>
        <w:tc>
          <w:tcPr>
            <w:tcW w:w="5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(benefit) provision on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19,372</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Book/tax differences on CLO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Book/tax differences related to mergers and partnership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book/tax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Taxable income before deductions for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7,719</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Taxable income before deductions for distributions per weighted</w:t>
              <w:br/>
              <w:t>   average shares for the period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0.62</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Taxable income before deductions for distributions per weighted</w:t>
              <w:br/>
              <w:t>    average shares for the period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six months ended June 30, 2026, the Asset Manager Affiliates did not make any cash distributions to the Company.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June 30, 2026, the Company had a net capital loss carryforward of $543.3 million to offset future net capital gains, of which $5.0 million represents short-term capital loss carryforwards subject to expiration in 2026, with the remainder not subject to expiration. A portion of the Company’s capital loss carryovers are subject to an annual use limitation under the Code and related regulations.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December 31, 2025, the Company had a net capital loss carryforward of $528.8 million to offset future net capital gains, of which $5.0 million represents short-term capital loss carryforwards subject to expiration in 2026, with the remainder not subject to expiration. A portion of the Company’s capital loss carryovers are subject to an annual use limitation under the Code and related regulations.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certain taxable subsidiaries which have elected to be taxed as corporations for U.S. tax purposes. The Company’s taxable subsidiaries record deferred tax assets or liabilities related to temporary book versus tax differences on the income or loss generated by the underlying equity investments held by the taxable subsidiaries. For the six months ended June 30, 2026 and 2025, the taxable subsidiaries’ activity resulted in an expense for income taxes of $0.2 million and an expense for income taxes of $0.2 million, respectively. As of June 30, 2026 and December 31, 2025, the taxable subsidiaries had, in aggregate, $0.9 million of net deferred tax assets and $1.1 million of net deferred tax assets, respectively. A portion of the taxable subsidiaries’ net operating loss and capital loss carryovers are subject to an annual use limitation under the Code and related regulations.</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ASC 740: </w:t>
      </w:r>
      <w:r>
        <w:rPr>
          <w:rFonts w:ascii="Times New Roman" w:hAnsi="Times New Roman"/>
          <w:i/>
          <w:color w:val="000000"/>
          <w:sz w:val="16"/>
        </w:rPr>
        <w:t>Accounting for Uncertainty in Income Taxes</w:t>
      </w:r>
      <w:r>
        <w:rPr>
          <w:rFonts w:ascii="Times New Roman" w:hAnsi="Times New Roman"/>
          <w:color w:val="000000"/>
          <w:sz w:val="16"/>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8. COMMITMENTS AND CONTINGENCIES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consolidated statements of assets and liabilities. Prior to extending such credit, the Company attempts to limit its credit risk by conducting extensive due diligence, obtaining collateral where necessary and negotiating appropriate financial covenants. As of June 30, 2026, and December 31, 2025, the Company had $27.3 million and $30.0 million of unfunded commitments,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may, from time to time, enter into commitments to fund investments. These unfunded commitments are assessed for fair value in accordance with ASC 820. As of June 30, 2026 and December 31, 2025, the Company had the following outstanding commitments to fund investments in current portfolio companies:</w:t>
      </w:r>
    </w:p>
    <w:tbl>
      <w:tblPr>
        <w:tblW w:w="9267" w:type="dxa"/>
        <w:jc w:val="left"/>
        <w:tblInd w:w="0" w:type="dxa"/>
        <w:tblLayout w:type="fixed"/>
        <w:tblCellMar>
          <w:top w:w="28" w:type="dxa"/>
          <w:left w:w="28" w:type="dxa"/>
          <w:bottom w:w="28" w:type="dxa"/>
          <w:right w:w="28" w:type="dxa"/>
        </w:tblCellMar>
      </w:tblPr>
      <w:tblGrid>
        <w:gridCol w:w="4666"/>
        <w:gridCol w:w="146"/>
        <w:gridCol w:w="1201"/>
        <w:gridCol w:w="146"/>
        <w:gridCol w:w="276"/>
        <w:gridCol w:w="849"/>
        <w:gridCol w:w="146"/>
        <w:gridCol w:w="146"/>
        <w:gridCol w:w="368"/>
        <w:gridCol w:w="1132"/>
        <w:gridCol w:w="1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Par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Scents Inc.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BetaNXT, Inc.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Bradshaw International Parent Corp.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CCMG Buyer, LLC (Care Connectors Medical Group)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Datalink, LLC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Dentive, LLC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Epilog Partners SPV III, LLC (Care Connectors Medical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HR Pharmaceuticals, LLC</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HR Pharmaceuticals, LLC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Metrc Inc.</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Metrc Inc.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Middle West Spirits, LLC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Morae Global Corporation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Morae Global Corporation (Term Loan A)</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Netwrix Corporation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Newbury Franklin Industrials, LLC</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Payarc LLC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PMA Parent Holdings LLC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PMP OPCO, LLC (Princeton Medspa Partners, LLC)</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PMP OPCO, LLC (Princeton Medspa Partners, LLC)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RN Enterprises, LLC</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 Great Lakes Funding II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Shepherd Parent Holdings, LLC</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Parent Holdings, LLC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Spark Buyer, LLC</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Spinrite, Inc.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TA/WEG Holdings, LLC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Tactical Air Support, Inc.</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Taoglas Group Holdings Limited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VBC Spine Opco LLC (DxTx Pain and Spine LLC)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Unfunded Portfolio Company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 Delayed draw term loan.</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9. STOCKHOLDERS’ EQUITY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tables detail the components of Stockholders’ Equity for the six months ended June 30, 2026 and 2025:</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923"/>
        <w:gridCol w:w="146"/>
        <w:gridCol w:w="262"/>
        <w:gridCol w:w="504"/>
        <w:gridCol w:w="166"/>
        <w:gridCol w:w="146"/>
        <w:gridCol w:w="221"/>
        <w:gridCol w:w="783"/>
        <w:gridCol w:w="166"/>
        <w:gridCol w:w="146"/>
        <w:gridCol w:w="231"/>
        <w:gridCol w:w="890"/>
        <w:gridCol w:w="166"/>
        <w:gridCol w:w="146"/>
        <w:gridCol w:w="242"/>
        <w:gridCol w:w="854"/>
        <w:gridCol w:w="213"/>
      </w:tblGrid>
      <w:tr>
        <w:trPr/>
        <w:tc>
          <w:tcPr>
            <w:tcW w:w="4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br/>
              <w:t>Excess</w:t>
              <w:br/>
              <w:t>of 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Distributable</w:t>
              <w:br/>
              <w:t>(loss)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209,156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gains (losses) from investment transactions and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(provision) benefit on realized and unrealized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Reinvested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809,092</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(616,211</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193,005</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gains (losses) from investment transactions and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(provision) benefit on realized and unrealized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Reinvested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809,137</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(629,799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179,462</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61"/>
        <w:gridCol w:w="146"/>
        <w:gridCol w:w="277"/>
        <w:gridCol w:w="489"/>
        <w:gridCol w:w="146"/>
        <w:gridCol w:w="146"/>
        <w:gridCol w:w="221"/>
        <w:gridCol w:w="783"/>
        <w:gridCol w:w="146"/>
        <w:gridCol w:w="146"/>
        <w:gridCol w:w="231"/>
        <w:gridCol w:w="890"/>
        <w:gridCol w:w="166"/>
        <w:gridCol w:w="146"/>
        <w:gridCol w:w="242"/>
        <w:gridCol w:w="854"/>
        <w:gridCol w:w="215"/>
      </w:tblGrid>
      <w:tr>
        <w:trPr/>
        <w:tc>
          <w:tcPr>
            <w:tcW w:w="4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br/>
              <w:t>Excess</w:t>
              <w:br/>
              <w:t>of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Distributable</w:t>
              <w:br/>
              <w:t>(loss)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178,493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gains (losses) from investment transactions and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(provision) benefit on realized and unrealized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Reinvested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714,398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(540,979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173,511</w:t>
            </w:r>
          </w:p>
        </w:tc>
        <w:tc>
          <w:tcPr>
            <w:tcW w:w="2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gains (losses) from investment transactions and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(provision) benefit on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Reinvested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714,459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(549,822</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164,729</w:t>
            </w:r>
          </w:p>
        </w:tc>
        <w:tc>
          <w:tcPr>
            <w:tcW w:w="2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March 6, 2023, the Board authorized a renewed stock repurchase program of up to $10.0 million (the “2023 Stock Repurchase Program”), effective March 6, 2023 and terminating on March 31, 2024. Under this repurchase program, shares may be repurchased from time to time in open market transactions, in privately negotiated transactions or otherwise subject to any agreement to which we are party including any restrictions in the indentures for our 2026 Notes, 2028 Notes, 2029 Notes, 2030 Notes and 2032 Convertible Notes. The terms and conditions of the 2023 Stock Repurchase Program are substantially similar to the prior stock repurchase program. The 2023 Stock Repurchase Program may be suspended or discontinued at any time. Subject to these restrictions, we will selectively pursue opportunities to repurchase shares which are accretive to net asset value per share. The timing and actual number of shares repurchased will depend on a variety of factors, including legal requirements, price, and economic and market conditions.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11, 2024, the Board authorized a renewed stock repurchase program of up to $10.0 million (the “2024 Stock Repurchase Program”) for an approximately one-year period, effective March 11, 2024 and terminating on March 31, 2025. The terms and conditions of the 2024 Stock Repurchase Program are substantially similar to the 2023 Stock Repurchase Program. The 2024 Stock Repurchase Program may be suspended or discontinued at any time. Subject to these restrictions, we will selectively pursue opportunities to repurchase shares which are accretive to net asset value per share.</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March 12, 2025, the Board authorized a renewed stock repurchase program of up to $10.0 million (the “2025 Stock Repurchase Program”) for an approximately one-year period, effective March 12, 2025 and terminating on March 31, 2026. The terms and conditions of the 2025 Stock Repurchase Program are substantially similar to the prior 2024 Stock Repurchase Program. The 2025 Stock Repurchase Program may be suspended or discontinued at any time. Subject to these restrictions, we will selectively pursue opportunities to repurchase shares which are accretive to net asset value per share.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4, 2026, the Board of Directors of the Company authorized a renewed stock repurchase program of up to $10.0 million (the “2026 Stock Repurchase Program”) for an approximately one-year period, effective March 4, 2026 and terminating on March 31, 2027. The terms and conditions of the 2026 Stock Repurchase Program are substantially similar to the prior 2025 Stock Repurchase Program. The 2026 Stock Repurchase Program may be suspended or discontinued at any time. Subject to these restrictions, we will selectively pursue opportunities to repurchase shares which are accretive to net asset value per share.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three months ended June 30, 2026 and 2025, the Company issued 5,955 and 4,981 shares, respectively, of common stock under its dividend reinvestment plan. During the six months ended June 30, 2026 and 2025, the Company issued 12,043 and 9,676 shares, respectively, of common stock under its dividend reinvestment plan. The total number of shares of the Company’s common stock outstanding as of June 30, 2026 and December 31, 2025 was 12,381,742 and 12,541,858,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three months ended June 30, 2026, the Company did not repurchase shares under the 2026 Stock Repurchase Program. During the six months ended June 30, 2026, the Company repurchased 172,159 shares under the 2025 Stock Repurchase and 2026 Stock Repurchase Program at an aggregate cost of $2.1 million. During the three and six months ended June 30, 2025, the Company did not repurchase shares under the 2024 Stock Repurchase Program or the 2025 Stock Repurchase Program.</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10. DIRECTORS’ EXPENSE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independent directors receive an annual fee of $77,000. They also receive reimbursement from the Company for any out-of-pocket expenses related to their service as members of the Board. In addition, the lead independent director will receive an annual fee of $10,000, the Chair of the Company’s Audit Committee will receive an annual fee of $10,000, the Chair of the Company’s Nominating and Corporate Governance Committee will receive an annual fee of $5,000 and the Chair of the Company’s Compensation Committee will receive an annual fee of $5,000. During the three and six months ended June 30, 2026, the Company recognized directors’ expense of $0.1 million and $0.2 million, respectively. During the three and six months ended June 30, 2025, the Company recognized directors’ expense of $0.1 million and $0.3 million, respectively. No compensation is expected to be paid to directors who are “interested persons” of the Company, as such term is defined in Section 2(a)(19) of the 1940 Act. Further, the Company’s independent directors do not receive any stock-based compensation for their service as members of the Board and the Company’s directors who are employed by the Adviser or its affiliates do not receive any compensation for their service as members of the Board.</w:t>
      </w:r>
    </w:p>
    <w:p>
      <w:pPr>
        <w:pStyle w:val="TextBody"/>
        <w:bidi w:val="0"/>
        <w:spacing w:before="240" w:after="283"/>
        <w:jc w:val="left"/>
        <w:rPr>
          <w:rFonts w:ascii="Times New Roman" w:hAnsi="Times New Roman"/>
          <w:b/>
          <w:color w:val="000000"/>
          <w:sz w:val="16"/>
        </w:rPr>
      </w:pPr>
      <w:r>
        <w:rPr>
          <w:rFonts w:ascii="Times New Roman" w:hAnsi="Times New Roman"/>
          <w:b/>
          <w:color w:val="000000"/>
          <w:sz w:val="16"/>
        </w:rPr>
        <w:t>11. LRFC ACQUISITION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July 15, 2025, the Company completed its previously announced acquisition of LRFC. In accordance with the LRFC Merger Agreement, at the effective time of the LRFC Acquisition, each share of LRFC common stock issued and outstanding was converted into the right to receive 1.500 newly-issued shares of common stock of the Company with cash paid (without interest) in lieu of fractional shares.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a result of the LRFC Acquisition and pursuant to the terms of the LRFC Merger Agreement, the Company issued an aggregate of approximately 3,984,078 shares, par value of $0.01 per share, of its common stock to former LRFC stockholders.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additional consideration funded by LRFC’s investment adviser, LRFC shareholders of record as of May 6, 2025 received a cash payment of $0.47 per share. In addition, LRFC shareholders of record as of July 14, 2025 received a tax distribution of $0.38 per share from LRFC.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LRFC Acquisition was accounted for as an asset acquisition in accordance with ASC 805-50. The consideration paid to LRFC’s shareholders was less than the aggregate fair values of the assets acquired and liabilities assumed, which resulted in a purchase discount (the “purchase discount”). The purchase discount was allocated to the cost of LRFC investments acquired by the Company on a pro-rata basis based on their relative fair values as of the closing date of the LRFC Acquisition. Immediately following the LRFC Acquisition, the Company marked the investments to their respective fair values and, as a result, the purchase discount allocated to the cost basis of the investments acquired was immediately recognized as unrealized appreciation on the Company’s consolidated statements of operations. The purchase discount allocated to the loan investments acquired will amortize over the life of each respective loan through interest income with a corresponding adjustment recorded as unrealized depreciation on such loans acquired through their ultimate disposition. The purchase discount allocated to equity investments acquired will not amortize over the life of such investments through interest income and, assuming no subsequent change to the fair value of the equity investments acquired and disposition of such equity investments at fair value, the Company will recognize a realized gain with a corresponding reversal of the unrealized appreciation on disposition of such equity investments acquired.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LRFC Acquisition was considered a tax-free reorganization and the Company has elected to carry forward the historical cost basis of the LRFC investments for tax purposes.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BCP INVESTMENT CORPORATION</w:t>
        <w:br/>
        <w:t>NOTES TO CONSOLIDATED FINANCIAL STATEMENTS - CONTINUED</w:t>
        <w:br/>
        <w:t>June 30, 2026</w:t>
        <w:br/>
        <w:t>(Unaudited)</w:t>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the allocation of the purchase price to the assets acquired and liabilities assumed as a result of the LRFC Acquisition immediately prior to consummation:</w:t>
      </w:r>
    </w:p>
    <w:p>
      <w:pPr>
        <w:pStyle w:val="TextBody"/>
        <w:bidi w:val="0"/>
        <w:spacing w:before="120" w:after="283"/>
        <w:jc w:val="both"/>
        <w:rPr/>
      </w:pPr>
      <w:r>
        <w:rPr/>
        <w:t> </w:t>
      </w:r>
    </w:p>
    <w:tbl>
      <w:tblPr>
        <w:tblW w:w="6618" w:type="dxa"/>
        <w:jc w:val="left"/>
        <w:tblInd w:w="0" w:type="dxa"/>
        <w:tblLayout w:type="fixed"/>
        <w:tblCellMar>
          <w:top w:w="28" w:type="dxa"/>
          <w:left w:w="28" w:type="dxa"/>
          <w:bottom w:w="28" w:type="dxa"/>
          <w:right w:w="28" w:type="dxa"/>
        </w:tblCellMar>
      </w:tblPr>
      <w:tblGrid>
        <w:gridCol w:w="5116"/>
        <w:gridCol w:w="196"/>
        <w:gridCol w:w="191"/>
        <w:gridCol w:w="904"/>
        <w:gridCol w:w="211"/>
      </w:tblGrid>
      <w:tr>
        <w:trPr/>
        <w:tc>
          <w:tcPr>
            <w:tcW w:w="5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July 15,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Common stock issued by the Company (net of offering costs of $404)</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fractional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costs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purchase consideration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 acquired: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 (amortized cost of $153,392)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 acquired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assumed: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 assumed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acquired</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purchase discount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sz w:val="16"/>
        </w:rPr>
      </w:pPr>
      <w:r>
        <w:rPr>
          <w:rFonts w:ascii="Times New Roman" w:hAnsi="Times New Roman"/>
          <w:color w:val="000000"/>
          <w:sz w:val="14"/>
        </w:rPr>
        <w:t>(1) Based on the share price defined in the LRFC Merger Agreement of $12.55</w:t>
      </w:r>
      <w:r>
        <w:rPr>
          <w:rFonts w:ascii="Times New Roman" w:hAnsi="Times New Roman"/>
          <w:color w:val="000000"/>
          <w:sz w:val="16"/>
        </w:rPr>
        <w:t xml:space="preserve"> </w:t>
      </w:r>
      <w:r>
        <w:rPr>
          <w:rFonts w:ascii="Times New Roman" w:hAnsi="Times New Roman"/>
          <w:color w:val="000000"/>
          <w:sz w:val="14"/>
        </w:rPr>
        <w:t>and the approximate 3,984,078</w:t>
      </w:r>
      <w:r>
        <w:rPr>
          <w:rFonts w:ascii="Times New Roman" w:hAnsi="Times New Roman"/>
          <w:color w:val="000000"/>
          <w:sz w:val="16"/>
        </w:rPr>
        <w:t xml:space="preserve"> </w:t>
      </w:r>
      <w:r>
        <w:rPr>
          <w:rFonts w:ascii="Times New Roman" w:hAnsi="Times New Roman"/>
          <w:color w:val="000000"/>
          <w:sz w:val="14"/>
        </w:rPr>
        <w:t>shares of common stock issued by the Company in connection with the LRFC Acquisition, net of offering costs of $0.4</w:t>
      </w:r>
      <w:r>
        <w:rPr>
          <w:rFonts w:ascii="Times New Roman" w:hAnsi="Times New Roman"/>
          <w:color w:val="000000"/>
          <w:sz w:val="16"/>
        </w:rPr>
        <w:t xml:space="preserve"> </w:t>
      </w:r>
      <w:r>
        <w:rPr>
          <w:rFonts w:ascii="Times New Roman" w:hAnsi="Times New Roman"/>
          <w:color w:val="000000"/>
          <w:sz w:val="14"/>
        </w:rPr>
        <w:t>million.</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12. SEGMENT REPORTING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operates through a single operating and reporting segment with an investment objective to generate both current income and capital appreciation through debt and equity investments. The CODM is the Company’s chief executive officer, and the CODM assesses the performance and makes operating decisions of the Company on a consolidated basis primarily based on the Company’s net increase in net assets resulting from operations (“net income”). Net income is comprised of total investment income (“segment revenues”) and total expenses (“significant segment expenses”), which are considered the key segment measures of profit or loss reviewed by the CODM. In addition to numerous other factors and metrics, the CODM utilizes net income as a key metric in determining the amount of dividends to be distributed to the Company’s stockholders, implementing investment policy decisions and strategic initiatives, managing the Company’s portfolio, allocating assets, and assessing the performance of the portfolio. As the Company’s operations are comprised solely of the Investment Management Segment, the segment assets are reflected on the accompanying consolidated statements of assets and liabilities as “total assets” and the significant segment expenses are listed on the accompanying consolidated statement of operations.</w:t>
      </w:r>
    </w:p>
    <w:p>
      <w:pPr>
        <w:pStyle w:val="TextBody"/>
        <w:bidi w:val="0"/>
        <w:spacing w:before="240" w:after="283"/>
        <w:jc w:val="both"/>
        <w:rPr>
          <w:rFonts w:ascii="Times New Roman" w:hAnsi="Times New Roman"/>
          <w:sz w:val="16"/>
        </w:rPr>
      </w:pPr>
      <w:r>
        <w:rPr>
          <w:rFonts w:ascii="Times New Roman" w:hAnsi="Times New Roman"/>
          <w:b/>
          <w:color w:val="000000"/>
          <w:sz w:val="16"/>
        </w:rPr>
        <w:t>13. SUBSEQUENT EVENTS</w:t>
      </w:r>
      <w:r>
        <w:rPr>
          <w:rFonts w:ascii="Times New Roman" w:hAnsi="Times New Roman"/>
          <w:color w:val="000000"/>
          <w:sz w:val="16"/>
        </w:rPr>
        <w:t xml:space="preserve"> </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On July 31, 2026, the Company paid its regular monthly base distribution of $0.09 per share of common stock to stockholders of record as of July 15,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On August 6, 2026, the Company declared a regular monthly base distribution of $0.09 per share of common stock for each of October, November and December 2026. The October 2026 distribution is payable on October 30, 2026 to stockholders of record at the close of business on October 15, 2026. The November 2026 distribution is payable on December 4, 2026 to stockholders of record at the close of business on November 23, 2026. The December 2026 distribution is payable on December 30, 2026 to stockholders of record at the close of business on December 15,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On August 6, 2026, the Company entered into a sixth amendment (the “Sixth Amendment”) to the KeyBank Credit Facility under its existing senior secured revolving credit agreement. The Sixth Amendment reduces the applicable margin during the reinvestment period from 2.80% per annum to 2.50% per annum and reduces the applicable margin during the amortization period from 3.20% per annum to 3.00% per annum. The Sixth Amendment also extends the termination date of the reinvestment period from August 21, 2027 to August 6, 2029, extends the maturity date from August 21, 2029 to August 6, 2031, increases the facility amount from $75.0 million to $150.0 million and continues to provide an uncommitted accordion feature that permits the Company to increase the facility amount to up to $200.0 million. The Sixth Amendment also amends the borrowing base provisions to permit certain participation interests acquired in connection with the refinancing to be included as eligible collateral. Concurrent with the consummation of the Sixth Amendment, GLPRF LLC, a direct, wholly owned subsidiary of the Company, transferred certain portfolio investment assets to CBL, and proceeds of borrowings under the amended KeyBank Credit Facility were used to repay in full all outstanding advances and other amounts then due under the senior secured revolving credit facility of GLPRF LLC with JPMorgan Chase Bank, National Association. Following such repayment, the financing commitments under the Revolving Credit Facility were terminated and the related security interests were released.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evaluated events and transactions occurring subsequent to June 30, 2026, through the date of issuance, for items that should potentially be recognized or disclosed in these financial statements. Other than as described above, management has determined that there are no other material subsequent events that would require adjustment to, or disclosure in, these unaudited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16"/>
        </w:rPr>
      </w:pPr>
      <w:bookmarkStart w:id="10" w:name="item_2_managements_discussion_analysis_f"/>
      <w:bookmarkEnd w:id="10"/>
      <w:r>
        <w:rPr>
          <w:rFonts w:ascii="Times New Roman" w:hAnsi="Times New Roman"/>
          <w:b/>
          <w:color w:val="000000"/>
          <w:sz w:val="16"/>
        </w:rPr>
        <w:t>Item 2.</w:t>
      </w:r>
      <w:r>
        <w:rPr>
          <w:rFonts w:ascii="Times New Roman" w:hAnsi="Times New Roman"/>
          <w:color w:val="000000"/>
          <w:sz w:val="16"/>
        </w:rPr>
        <w:t xml:space="preserve"> </w:t>
      </w:r>
      <w:r>
        <w:rPr>
          <w:rFonts w:ascii="Times New Roman" w:hAnsi="Times New Roman"/>
          <w:b/>
          <w:color w:val="000000"/>
          <w:sz w:val="16"/>
        </w:rPr>
        <w:t>Management’s Discussion and Analysis of</w:t>
      </w:r>
      <w:r>
        <w:rPr>
          <w:rFonts w:ascii="Times New Roman" w:hAnsi="Times New Roman"/>
          <w:color w:val="000000"/>
          <w:sz w:val="16"/>
        </w:rPr>
        <w:t xml:space="preserve"> </w:t>
      </w:r>
      <w:r>
        <w:rPr>
          <w:rFonts w:ascii="Times New Roman" w:hAnsi="Times New Roman"/>
          <w:b/>
          <w:color w:val="000000"/>
          <w:sz w:val="16"/>
        </w:rPr>
        <w:t>Financial Condition and Results of Operations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discussion and analysis should be read in conjunction with our consolidated financial statements and related notes included in this Quarterly Report on Form 10-Q. This discussion contains forward-looking statements and involves numerous risks and uncertainties, including but not limited to those described in Part I, Item 1A of our annual report on Form 10-K for the year ended December 31, 2025 and Part II, Item 1A of this Form 10-Q of this Quarterly Report. Our actual results could differ materially from those anticipated by such forward-looking statements due to factors discussed under the “Risk Factors” section included in our SEC filings and “Note About Forward-Looking Statements” appearing elsewhere in this Form 10-Q.</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GENERAL</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are an externally managed, non-diversified closed-end investment company that has elected to be regulated as a business development company (“BDC”) under the Investment Company Act of 1940, as amended (the “1940 Act”). Sierra Crest Investment Management LLC (the “Adviser”) is an affiliate of BC Partners LLP (“BC Partners”). Subject to the overall supervision of the Board of Directors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$10.0 million to $50.0 million and/or total debt of $25.0 million to $150.0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From time-to-time we have made investments in CLO Fund Securities managed by other asset managers. Our collateralized loan obligation funds (“CLO Funds”) typically invest in broadly syndicated loans, high-yield bonds and other credit instruments.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portfolio may include “covenant-lite” loans which generally refer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We have elected to be treated for U.S. federal income tax purposes as a regulated investment company (“RIC”) under Subchapter M of the Internal Revenue Code of 1986, as amended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August 22, 2025, the Company changed its name from Portman Ridge Finance Corporation to BCP Investment Corporation and on August 25, 2025 began trading on the NASDAQ Global Select Market under the symbol “BCIC.”</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The Externalization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April 1, 2019 (the “Closing”), we became externally managed (the “Externalization”) by the Adviser, pursuant to a stock purchase and transaction agreement (the “Externalization Agreement”) with BC Partners Advisors L.P. (“BCP”), an affiliate of BC Partners. In connection with the Externalization, our stockholders approved an investment advisory agreement (the “Advisory Agreement”) with the Adviser. See “-Advisory Agreement” below.</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Pursuant to the Externalization Agreement with BCP, the Adviser became our investment adviser in exchange for a cash payment from BCP, or its affiliate, of $25.0 million, or $0.669672 per share of our common stock, directly to our stockholders. In addition, the Adviser (or its affiliate) agreed to use up to $10.0 million of the incentive fee actually paid to the Adviser prior to the second anniversary of the Closing to buy newly issued shares of our common stock at the most recently determined net asset value per share of our common stock at the time of such purchase. In November 2020, the Adviser purchased approximately $0.6 million newly issued shares of our common stock in connection therewith, and in May 2021, the Adviser purchased approximately $4.0 million of newly issued shares of our common stock in connection therewith. In both cases, the shares were issued at the most recently determined net asset value per share of our common stock. The obligations of the Adviser to use incentive fees to purchase shares expired on April 1, 2021. For the period of one year from the first day of the first quarter following the quarter in which the Closing occurred, the Adviser agreed to permanently forego up to the full amount of the incentive fees earned by the Adviser without recourse against or reimbursement by us, to the extent necessary in order to achieve aggregate net investment income per share of our common stock for such one-year period to be at least equal to $0.40 per share, subject to certain adjustments. BCP and the Adviser’s total financial commitment to the transactions contemplated by the Externalization Agreement was $35.0 million.</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GARS Transaction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October 28, 2020, we completed our acquisition of Garrison Capital Inc., a publicly traded BDC (“GARS”, and such transaction,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 accordance with the terms of the merger agreement for the GARS Acquisition, dated June 24, 2020 (the “GARS Merger Agreement”), each share of common stock, par value $0.001 per share, of GARS (the “GARS Common Stock”) issued and outstanding was converted into the right to receive (i) an amount in cash, without interest, equal to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pStyle w:val="TextBody"/>
        <w:bidi w:val="0"/>
        <w:spacing w:before="240" w:after="283"/>
        <w:jc w:val="both"/>
        <w:rPr>
          <w:rFonts w:ascii="Times New Roman" w:hAnsi="Times New Roman"/>
          <w:sz w:val="16"/>
        </w:rPr>
      </w:pPr>
      <w:r>
        <w:rPr>
          <w:rFonts w:ascii="Times New Roman" w:hAnsi="Times New Roman"/>
          <w:b/>
          <w:i/>
          <w:color w:val="000000"/>
          <w:sz w:val="16"/>
        </w:rPr>
        <w:t>HCAP Transaction</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June 9, 2021, we completed our acquisition of Harvest Capital Credit Corporation, a publicly traded BDC (“HCAP”, and such transaction, the “HCAP Acquisition”). To effect the acquisition, our wholly owned merger subsidiary (the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terms of the merger agreement for the HCAP Acquisition, dated December 23, 2020, HCAP stockholders as of immediately prior to the effective time of the first merger (other than shares held by a subsidiary of HCAP or held, directly or indirectly, by the Company or Acquisition Sub, and all treasury shares) received a combination of (i) $18.54 million in cash paid by the Company, (ii) 15,252,453 validly issued, fully paid and non-assessable shares of the Company’s common stock, par value $0.01 per share, and (iii) an additional cash payment from the Adviser of $2.15 million in the aggregate.</w:t>
      </w:r>
    </w:p>
    <w:p>
      <w:pPr>
        <w:pStyle w:val="TextBody"/>
        <w:bidi w:val="0"/>
        <w:spacing w:before="240" w:after="283"/>
        <w:jc w:val="both"/>
        <w:rPr>
          <w:rFonts w:ascii="Times New Roman" w:hAnsi="Times New Roman"/>
          <w:sz w:val="16"/>
        </w:rPr>
      </w:pPr>
      <w:r>
        <w:rPr>
          <w:rFonts w:ascii="Times New Roman" w:hAnsi="Times New Roman"/>
          <w:b/>
          <w:i/>
          <w:color w:val="000000"/>
          <w:sz w:val="16"/>
        </w:rPr>
        <w:t>LRFC Transaction</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July 15, 2025, the Company announced the completion of its acquisition of Logan Ridge Finance Corporation, a Maryland corporation (“LRFC”, and such transaction, the “LRFC Acquisition”), pursuant to the terms of the merger agreement, dated January 29, 2025 (the “LRFC Merger Agreement”). To effect the acquisition, a wholly owned merger subsidiary of the Company merged with and into LRFC, with LRFC surviving the merger as the Company’s wholly owned subsidiary. Immediately thereafter and as a single integrated transaction, LRFC consummated a second merger, whereby LRFC merged with and into the Company, with the Company surviving the merger.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Under the terms of the LRFC Merger Agreement, each share of LRFC common stock issued and outstanding was converted into the right to receive 1.500 newly-issued shares of common stock of the Company with cash paid (without interest) in lieu of fractional shares. As additional consideration funded by LRFC’s investment adviser, LRFC shareholders of record as of May 6, 2025 received a cash payment of $0.47 per share. In addition, LRFC shareholders of record as of July 14, 2025 received a tax distribution of $0.38 per share from LRFC. Refer to Note 11 — “LRFC Acquisition” of our notes to the consolidated financial statements for further discussion of the LRFC Acquisition. The LRFC Acquisition was accounted for as an asset acquisition under ASC 805-50 rather than as a business combination. The total purchase consideration, consisting of shares of common stock issued and capitalized transaction costs, was measured at fair value as of the closing date of the LRFC Acquisition. The total cost of approximately $52.8 million was allocated to LRFC’s identifiable assets and liabilities on a relative-fair-value basis, resulting in a purchase discount of $20.9 million. No goodwill was recognized. The purchase discount was allocated to investment assets and is reflected as day-one unrealized appreciation, consistent with ASC 946 and ASC 820.</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PORTFOLIO AND INVESTMENT ACTIVITY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Total portfolio investment activity (excluding activity in short-term investments) for the six months ended June 30, 2026 (unaudited) and for the year ended December 31, 2025, was as follows:</w:t>
      </w:r>
    </w:p>
    <w:tbl>
      <w:tblPr>
        <w:tblW w:w="11475" w:type="dxa"/>
        <w:jc w:val="left"/>
        <w:tblInd w:w="0" w:type="dxa"/>
        <w:tblLayout w:type="fixed"/>
        <w:tblCellMar>
          <w:top w:w="28" w:type="dxa"/>
          <w:left w:w="28" w:type="dxa"/>
          <w:bottom w:w="28" w:type="dxa"/>
          <w:right w:w="28" w:type="dxa"/>
        </w:tblCellMar>
      </w:tblPr>
      <w:tblGrid>
        <w:gridCol w:w="1311"/>
        <w:gridCol w:w="146"/>
        <w:gridCol w:w="196"/>
        <w:gridCol w:w="751"/>
        <w:gridCol w:w="166"/>
        <w:gridCol w:w="146"/>
        <w:gridCol w:w="196"/>
        <w:gridCol w:w="601"/>
        <w:gridCol w:w="166"/>
        <w:gridCol w:w="146"/>
        <w:gridCol w:w="265"/>
        <w:gridCol w:w="816"/>
        <w:gridCol w:w="166"/>
        <w:gridCol w:w="146"/>
        <w:gridCol w:w="196"/>
        <w:gridCol w:w="601"/>
        <w:gridCol w:w="166"/>
        <w:gridCol w:w="146"/>
        <w:gridCol w:w="276"/>
        <w:gridCol w:w="850"/>
        <w:gridCol w:w="166"/>
        <w:gridCol w:w="146"/>
        <w:gridCol w:w="196"/>
        <w:gridCol w:w="601"/>
        <w:gridCol w:w="166"/>
        <w:gridCol w:w="146"/>
        <w:gridCol w:w="319"/>
        <w:gridCol w:w="612"/>
        <w:gridCol w:w="166"/>
        <w:gridCol w:w="146"/>
        <w:gridCol w:w="196"/>
        <w:gridCol w:w="751"/>
        <w:gridCol w:w="411"/>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 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Joint Ventures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Portfolio</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 PIK capitalization / originations / draws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Acquired as part of the LRFC Acquisition</w:t>
              <w:br/>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Sales/paydowns/return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accretion of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 PIK capitalization / originations / draws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Sales/paydowns/return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Restructurings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accretion of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452,741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Represents the cost basis of the investments acquired on July 15, 2025 as part of the LRFC Acquisition, inclusive of the purchase discount.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shows the Company’s portfolio by security type as of June 30, 2026, and December 31, 2025:</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417"/>
        <w:gridCol w:w="146"/>
        <w:gridCol w:w="218"/>
        <w:gridCol w:w="769"/>
        <w:gridCol w:w="146"/>
        <w:gridCol w:w="146"/>
        <w:gridCol w:w="196"/>
        <w:gridCol w:w="691"/>
        <w:gridCol w:w="146"/>
        <w:gridCol w:w="146"/>
        <w:gridCol w:w="337"/>
        <w:gridCol w:w="1187"/>
        <w:gridCol w:w="241"/>
        <w:gridCol w:w="146"/>
        <w:gridCol w:w="218"/>
        <w:gridCol w:w="769"/>
        <w:gridCol w:w="146"/>
        <w:gridCol w:w="146"/>
        <w:gridCol w:w="196"/>
        <w:gridCol w:w="691"/>
        <w:gridCol w:w="146"/>
        <w:gridCol w:w="146"/>
        <w:gridCol w:w="337"/>
        <w:gridCol w:w="1187"/>
        <w:gridCol w:w="291"/>
      </w:tblGrid>
      <w:tr>
        <w:trPr/>
        <w:tc>
          <w:tcPr>
            <w:tcW w:w="1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8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Security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Asset Manager Affiliates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452,741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Represents the equity investment in the Asset Manager Affiliates.</w:t>
      </w:r>
    </w:p>
    <w:p>
      <w:pPr>
        <w:pStyle w:val="TextBody"/>
        <w:bidi w:val="0"/>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industry concentrations, based on the fair value of the Company’s investment portfolio as of June 30, 2026, and December 31, 2025, for our investment portfolio was as follows: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893"/>
        <w:gridCol w:w="146"/>
        <w:gridCol w:w="212"/>
        <w:gridCol w:w="748"/>
        <w:gridCol w:w="146"/>
        <w:gridCol w:w="146"/>
        <w:gridCol w:w="196"/>
        <w:gridCol w:w="691"/>
        <w:gridCol w:w="146"/>
        <w:gridCol w:w="146"/>
        <w:gridCol w:w="291"/>
        <w:gridCol w:w="1022"/>
        <w:gridCol w:w="241"/>
        <w:gridCol w:w="146"/>
        <w:gridCol w:w="212"/>
        <w:gridCol w:w="748"/>
        <w:gridCol w:w="146"/>
        <w:gridCol w:w="146"/>
        <w:gridCol w:w="196"/>
        <w:gridCol w:w="691"/>
        <w:gridCol w:w="146"/>
        <w:gridCol w:w="146"/>
        <w:gridCol w:w="291"/>
        <w:gridCol w:w="1022"/>
        <w:gridCol w:w="291"/>
      </w:tblGrid>
      <w:tr>
        <w:trPr/>
        <w:tc>
          <w:tcPr>
            <w:tcW w:w="1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Cost/Amortized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Cost/Amortized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Percentage of Total Portfolio</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Providers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Services &amp;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 Fund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Textiles, Apparel &amp; Luxury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Aerospace &amp; Defense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Leisure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Food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Equipment &amp;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Trading Companies &amp; Distributors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Personal Care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Ground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Durables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Automobile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Equipment, Instruments &amp;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 Distribution &amp;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Metals &amp; Mining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Machinery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Diversified Consumer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Interactive Media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Hotels, Restaurants &amp;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Containers &amp; Packaging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Electrical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Communications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Beverages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Hardware, Storage &amp;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Specialty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Diversified Telecommunication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Energy Equipment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Conglomerates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Transportation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Wireless Telecommunication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Broadline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Gas &amp;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Asset Management Company</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452,741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jc w:val="both"/>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Represents the equity investment in the Asset Manager Affiliates.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Debt Securities Portfolio</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As of June 30, 2026 and December 31, 2025, our Debt Securities Portfolio had a weighted average annualized yield (excluding income from non-accruals and collateralized loan obligations) of approximately 12.0% and 12.9%, respectively.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debt investment portfolio (excluding our investments in the CLO Funds and Joint Ventures) as of June 30, 2026 was spread across 33 different industries and 71 different portfolio companies with a fair value of approximately $349.7 million and average par balance per investment of approximately $3.2 million. As of June 30, 2026, eleven of our debt investments were on non-accrual status, which were attributable to seven portfolio companies. However, for two of the investments in the non-accrual population, the Company continues to recognize interest income on a cash basis, i.e., only when cash payments are actually received. Refer to the consolidated schedule of investments for further details. As of December 31, 2025, thirteen of our debt investments were on non-accrual status, which were attributable to ten portfolio companies.</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Asset Manager Affiliates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June 30, 2026, our remaining asset management affiliates (the “Asset Manager Affiliates”) have limited operations and are expected to be liquidated. As of June 30, 2026, the Asset Manager Affiliates manage CLO Funds that invest in broadly syndicated loans, high yield bonds and other credit instruments.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CLO Fund Securities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have made minority investments in the subordinated securities or preferred shares of CLO Funds managed by the Disposed Manager Affiliates and may selectively invest in securities issued by CLO Funds managed by other asset management companies. As of June 30, 2026 and December 31, 2025, the fair value of the CLO Fund Securities was $15.5 million and $1.8 million,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CLO Funds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For a more detailed discussion of the risks related to our investments in CLO Funds, please see “Risk Factors — Risks Related to Our Investments — Our investments may be risky, and you could lose all or part of your investment” included in our annual report on Form 10-K for the year ended December 31,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CLO Fund Securities as of June 30, 2026 and December 31, 2025 were as follows: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508"/>
        <w:gridCol w:w="146"/>
        <w:gridCol w:w="1263"/>
        <w:gridCol w:w="146"/>
        <w:gridCol w:w="214"/>
        <w:gridCol w:w="657"/>
        <w:gridCol w:w="146"/>
        <w:gridCol w:w="146"/>
        <w:gridCol w:w="199"/>
        <w:gridCol w:w="612"/>
        <w:gridCol w:w="146"/>
        <w:gridCol w:w="146"/>
        <w:gridCol w:w="276"/>
        <w:gridCol w:w="800"/>
        <w:gridCol w:w="241"/>
        <w:gridCol w:w="146"/>
        <w:gridCol w:w="241"/>
        <w:gridCol w:w="630"/>
        <w:gridCol w:w="146"/>
        <w:gridCol w:w="146"/>
        <w:gridCol w:w="204"/>
        <w:gridCol w:w="533"/>
        <w:gridCol w:w="146"/>
        <w:gridCol w:w="276"/>
        <w:gridCol w:w="800"/>
        <w:gridCol w:w="291"/>
      </w:tblGrid>
      <w:tr>
        <w:trPr/>
        <w:tc>
          <w:tcPr>
            <w:tcW w:w="1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CLO Fund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Percentage Ownership</w:t>
            </w:r>
            <w:r>
              <w:rPr>
                <w:rFonts w:ascii="Times New Roman" w:hAnsi="Times New Roman"/>
                <w:b/>
                <w:color w:val="000000"/>
                <w:sz w:val="11"/>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Percentage Ownership</w:t>
            </w:r>
            <w:r>
              <w:rPr>
                <w:rFonts w:ascii="Times New Roman" w:hAnsi="Times New Roman"/>
                <w:b/>
                <w:color w:val="000000"/>
                <w:sz w:val="11"/>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Catamaran CLO 2014-1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Catamaran CLO 2018-1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Dryden 30 Senior Loan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JMP Credit Advisors CLO IV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JMP Credit Advisors CLO V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JNTR 2026-1 LLC CLO – Class A-0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JNTR 2026-1 LLC CLO – Class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JNTR 2026-1 LLC CLO – Class 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JNTR 2026-1 LLC CLO – Class A-3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JNTR 2026-1 LLC CLO – Subordinated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JNTR 2026-1 LLC CLO – Subordinated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Represents percentage of class held at June 30, 2026 and December 31, 2025, respectively.</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Investment in Joint Ventures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KCAP Freedom 3 LLC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third quarter of 2017, we and Freedom 3 Opportunities LLC (“Freedom 3 Opportunities”), an affiliate of Freedom 3 Capital LLC, entered into an agreement to create KCAP Freedom 3 LLC (the “F3C Joint Venture”). The fund capitalized by the F3C Joint Venture invests primarily in middle-market loans and the F3C Joint Venture partners may source middle-market loans from time-to-time for such fund.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own a 62.8% economic interest in the F3C Joint Venture. The F3C Joint Venture is structured as an unconsolidated Delaware limited liability company. All portfolio and other material decisions regarding the F3C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F3C Joint Venture’s investment committee, which is comprised of one member appointed by us and one member appointed by Freedom 3 Opportunities.</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We have determined that the F3C Joint Venture is an investment company under the Financial Accounting Standards Board (“FASB”) Accounting Standards Codification (“ASC”) 946: </w:t>
      </w:r>
      <w:r>
        <w:rPr>
          <w:rFonts w:ascii="Times New Roman" w:hAnsi="Times New Roman"/>
          <w:i/>
          <w:color w:val="000000"/>
          <w:sz w:val="16"/>
        </w:rPr>
        <w:t>Financial Services — Investment Companies</w:t>
      </w:r>
      <w:r>
        <w:rPr>
          <w:rFonts w:ascii="Times New Roman" w:hAnsi="Times New Roman"/>
          <w:color w:val="000000"/>
          <w:sz w:val="16"/>
        </w:rPr>
        <w:t xml:space="preserve">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F3C Joint Venture because we do not control the F3C Joint Venture due to allocation of the voting rights among the F3C Joint Venture partners.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fair value of the Company’s investment in the F3C Joint Venture as of June 30, 2026 and December 31, 2025 was $7.1 million and $10.7 million, respectively.</w:t>
      </w:r>
    </w:p>
    <w:p>
      <w:pPr>
        <w:pStyle w:val="TextBody"/>
        <w:bidi w:val="0"/>
        <w:spacing w:before="240" w:after="283"/>
        <w:jc w:val="both"/>
        <w:rPr>
          <w:rFonts w:ascii="Times New Roman" w:hAnsi="Times New Roman"/>
          <w:sz w:val="16"/>
        </w:rPr>
      </w:pPr>
      <w:r>
        <w:rPr>
          <w:rFonts w:ascii="Times New Roman" w:hAnsi="Times New Roman"/>
          <w:b/>
          <w:color w:val="000000"/>
          <w:sz w:val="16"/>
        </w:rPr>
        <w:t>Great Lakes Funding II LLC</w:t>
      </w:r>
      <w:r>
        <w:rPr>
          <w:rFonts w:ascii="Times New Roman" w:hAnsi="Times New Roman"/>
          <w:color w:val="000000"/>
          <w:sz w:val="16"/>
        </w:rPr>
        <w:t xml:space="preserve">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August 2022, we invested in Series A (“Series A”) of Great Lakes Funding II LLC (the “Great Lakes II Joint Venture,” collectively with the F3C Joint Venture, the “Joint Ventures”), a joint venture with a third-party financial institution and certain other parties with an investment strategy to underwrite and hold senior, secured unitranche loans made to middle-market companies. We treat our investment in the Great Lakes II Joint Venture as a joint venture since affiliated funds of the Adviser collectively control a 50% voting interest in the Great Lakes II Joint Venture through a board of managers.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Great Lakes II Joint Venture is a Delaware series limited liability company. Pursuant to the terms of the limited liability company agreement of the Great Lakes II Joint Venture dated as of July 29, 2022 (as amended, restated, supplemented, or otherwise modified from time to time, the “Great Lakes II LLC Agreement”), prior to the end of the investment period with respect to each series established under the Great Lakes II LLC Agreement, each member of the predecessor series may be offered the opportunity to roll its interests into any subsequent series of the Great Lakes II Joint Venture. The Company does not pay any investment advisory fees in connection with its investment in the Great Lakes II Joint Venture.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August 1, 2025, pursuant to the Great Lakes II LLC Agreement, the Company elected to participate in a rollover transaction from Series A of Great Lakes II Joint Venture to Series B (“Series B”) of Great Lakes II Joint Venture. As part of the transaction, the portion of the Company’s remaining unfunded commitment in Series A became the Company’s remaining unfunded commitment in Series B, thus reducing the Company’s remaining unfunded commitment in Series A to zero. In connection with the rollover transaction, Series A transferred to Series B a pro rata portion of the underlying portfolio assets held by Series A that corresponded to the interest of the members of Series A who elected to participate in the transaction in addition to a pro rata portion of the principal outstanding under Great Lakes II Joint Venture’s credit facility.</w:t>
      </w:r>
    </w:p>
    <w:p>
      <w:pPr>
        <w:pStyle w:val="TextBody"/>
        <w:bidi w:val="0"/>
        <w:spacing w:before="120" w:after="283"/>
        <w:jc w:val="both"/>
        <w:rPr>
          <w:rFonts w:ascii="Times New Roman" w:hAnsi="Times New Roman"/>
          <w:sz w:val="16"/>
        </w:rPr>
      </w:pPr>
      <w:r>
        <w:rPr>
          <w:rFonts w:ascii="Times New Roman" w:hAnsi="Times New Roman"/>
          <w:color w:val="000000"/>
          <w:sz w:val="16"/>
        </w:rPr>
        <w:t xml:space="preserve">The fair value of the Company’s investment in Series B as of June 30, 2026 and December 31, 2025 were $37.8 million and $37.5 million, respectively. Fair value has been determined utilizing the practical expedient pursuant to ASC 820: </w:t>
      </w:r>
      <w:r>
        <w:rPr>
          <w:rFonts w:ascii="Times New Roman" w:hAnsi="Times New Roman"/>
          <w:i/>
          <w:color w:val="000000"/>
          <w:sz w:val="16"/>
        </w:rPr>
        <w:t>Fair Value Measurement</w:t>
      </w:r>
      <w:r>
        <w:rPr>
          <w:rFonts w:ascii="Times New Roman" w:hAnsi="Times New Roman"/>
          <w:color w:val="000000"/>
          <w:sz w:val="16"/>
        </w:rPr>
        <w:t xml:space="preserve"> (“ASC 820”).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June 30, 2026 and December 31, 2025, the Company had an unfunded commitment of $10.3 million and $12.6 million to Series B, respectively.</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RESULTS OF OPERATIONS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principal measure of our financial performance is the net increase (decrease) in net assets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Set forth below is a discussion of our results of operations for the three and six months ended June 30, 2026 and 2025:</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Revenue</w:t>
      </w:r>
    </w:p>
    <w:tbl>
      <w:tblPr>
        <w:tblW w:w="10108" w:type="dxa"/>
        <w:jc w:val="left"/>
        <w:tblInd w:w="0" w:type="dxa"/>
        <w:tblLayout w:type="fixed"/>
        <w:tblCellMar>
          <w:top w:w="28" w:type="dxa"/>
          <w:left w:w="28" w:type="dxa"/>
          <w:bottom w:w="28" w:type="dxa"/>
          <w:right w:w="28" w:type="dxa"/>
        </w:tblCellMar>
      </w:tblPr>
      <w:tblGrid>
        <w:gridCol w:w="3231"/>
        <w:gridCol w:w="446"/>
        <w:gridCol w:w="296"/>
        <w:gridCol w:w="908"/>
        <w:gridCol w:w="220"/>
        <w:gridCol w:w="220"/>
        <w:gridCol w:w="296"/>
        <w:gridCol w:w="908"/>
        <w:gridCol w:w="146"/>
        <w:gridCol w:w="146"/>
        <w:gridCol w:w="276"/>
        <w:gridCol w:w="846"/>
        <w:gridCol w:w="205"/>
        <w:gridCol w:w="205"/>
        <w:gridCol w:w="276"/>
        <w:gridCol w:w="846"/>
        <w:gridCol w:w="146"/>
        <w:gridCol w:w="491"/>
      </w:tblGrid>
      <w:tr>
        <w:trPr/>
        <w:tc>
          <w:tcPr>
            <w:tcW w:w="32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in thousands)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22,088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interest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11,384</w:t>
            </w:r>
          </w:p>
        </w:tc>
        <w:tc>
          <w:tcPr>
            <w:tcW w:w="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24,202</w:t>
            </w:r>
          </w:p>
        </w:tc>
        <w:tc>
          <w:tcPr>
            <w:tcW w:w="2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payment-in-kind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5,783</w:t>
            </w:r>
          </w:p>
        </w:tc>
        <w:tc>
          <w:tcPr>
            <w:tcW w:w="2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dividend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0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2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0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w:t>
            </w:r>
          </w:p>
        </w:tc>
        <w:tc>
          <w:tcPr>
            <w:tcW w:w="2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and other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fees and other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investment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32,763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Revenues consist primarily of investment income from interest and dividends on our investment portfolio and various ancillary fees related to our investment holdings. Investment income for the three months ended June 30, 2026 and 2025 was approximately $15.2 million and $12.6 million, respectively. Investment income for the six months ended June 30, 2026 and 2025, was approximately $32.8 million and $24.7 million, respectively. </w:t>
      </w:r>
    </w:p>
    <w:p>
      <w:pPr>
        <w:pStyle w:val="TextBody"/>
        <w:bidi w:val="0"/>
        <w:spacing w:before="120" w:after="283"/>
        <w:jc w:val="both"/>
        <w:rPr>
          <w:rFonts w:ascii="Times New Roman" w:hAnsi="Times New Roman"/>
          <w:sz w:val="16"/>
        </w:rPr>
      </w:pPr>
      <w:r>
        <w:rPr>
          <w:rFonts w:ascii="Times New Roman" w:hAnsi="Times New Roman"/>
          <w:i/>
          <w:color w:val="000000"/>
          <w:sz w:val="16"/>
        </w:rPr>
        <w:t>Interest from Investments in Debt Securities</w:t>
      </w:r>
      <w:r>
        <w:rPr>
          <w:rFonts w:ascii="Times New Roman" w:hAnsi="Times New Roman"/>
          <w:color w:val="000000"/>
          <w:sz w:val="16"/>
        </w:rPr>
        <w:t>. We generate interest income from our investments in debt securities that consist primarily of senior and 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majority of investment income is attributable to interest income, inclusive of payment-in-kind income, on our Debt Securities Portfolio. For the three months ended June 30, 2026 and 2025, approximately $13.5 million and $10.9 million, respectively, of investment income was attributable to interest income, inclusive of payment-in-kind income, on our Debt Securities Portfolio. For the six months ended June 30, 2026 and 2025, approximately $29.6 million and $21.3 million, respectively, of investment income was attributable to interest income, inclusive of payment-in-kind income, on our Debt Securities Portfolio.</w:t>
      </w:r>
    </w:p>
    <w:p>
      <w:pPr>
        <w:pStyle w:val="TextBody"/>
        <w:bidi w:val="0"/>
        <w:spacing w:before="120" w:after="283"/>
        <w:jc w:val="left"/>
        <w:rPr>
          <w:rFonts w:ascii="Times New Roman" w:hAnsi="Times New Roman"/>
          <w:sz w:val="16"/>
        </w:rPr>
      </w:pPr>
      <w:r>
        <w:rPr>
          <w:rFonts w:ascii="Times New Roman" w:hAnsi="Times New Roman"/>
          <w:i/>
          <w:color w:val="000000"/>
          <w:sz w:val="16"/>
        </w:rPr>
        <w:t xml:space="preserve">Payment-in-kind ("PIK") income. </w:t>
      </w:r>
      <w:r>
        <w:rPr>
          <w:rFonts w:ascii="Times New Roman" w:hAnsi="Times New Roman"/>
          <w:color w:val="000000"/>
          <w:sz w:val="16"/>
        </w:rPr>
        <w:t xml:space="preserve">During the three months ended June 30, 2026 and 2025, the Company recognized $2.4 million and $2.4 million, respectively, of payment-in-kind income. The Company did not receive any non-recurring fee income that was paid in-kind during the three months ended June 30, 2026, compared to $0.1 million during the three months ended June 30, 2025, which is included in the payment-in-kind income line item on the consolidated statements of operations. Excluding non-recurring fee income paid in-kind, payment-in-kind income remained relatively consistent period over period. During the six months ended June 30, 2026 and 2025, the Company recognized $5.8 million and $5.5 million, respectively, of payment-in-kind income. Included in these amounts was $0.6 million and $0.3 million, respectively, of non-recurring fee income that was paid in-kind and is included in the payment-in-kind income line item on the consolidated statements of operations. The increase in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payment-in-kind income during the six-month period was primarily attributable to higher recurring PIK income generated by the larger investment portfolio following the LRFC merger, partially offset by changes in non-recurring fee income paid in-kind.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June 30, 2026, our debt investment portfolio, which represented 77.2% of the fair value of our total portfolio, had a weighted average annualized yield of approximately 12.0% (excluding income from non-accruals and collateralized loan obligations). As of June 30, 2026, 10.6% of the fair value of our debt investment portfolio was bearing a fixed rate of interest. As of December 31, 2025, our debt investment portfolio, which represented 82.2% of the fair value of our total portfolio, had a weighted average annualized yield of approximately 12.9% (excluding income from non-accruals and collateralized loan obligations). As of December 31, 2025, 12.4% of the fair value of our debt investment portfolio was bearing a fixed rate of interest.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Investment income is comprised of coupon interest, accretion of discount and accelerated accretion resulting from paydowns and other revenue earned from operations. Acquisitions of GARS (October 2020), HCAP (June 2021) and LRFC (July 2025) have had a significant positive impact on earnings as a result of amortization of purchase discount established at the time of the mergers. The table below illustrates that impact:</w:t>
      </w:r>
    </w:p>
    <w:tbl>
      <w:tblPr>
        <w:tblW w:w="10205" w:type="dxa"/>
        <w:jc w:val="left"/>
        <w:tblInd w:w="0" w:type="dxa"/>
        <w:tblLayout w:type="fixed"/>
        <w:tblCellMar>
          <w:top w:w="28" w:type="dxa"/>
          <w:left w:w="28" w:type="dxa"/>
          <w:bottom w:w="28" w:type="dxa"/>
          <w:right w:w="28" w:type="dxa"/>
        </w:tblCellMar>
      </w:tblPr>
      <w:tblGrid>
        <w:gridCol w:w="4243"/>
        <w:gridCol w:w="146"/>
        <w:gridCol w:w="288"/>
        <w:gridCol w:w="884"/>
        <w:gridCol w:w="243"/>
        <w:gridCol w:w="288"/>
        <w:gridCol w:w="884"/>
        <w:gridCol w:w="146"/>
        <w:gridCol w:w="146"/>
        <w:gridCol w:w="254"/>
        <w:gridCol w:w="781"/>
        <w:gridCol w:w="215"/>
        <w:gridCol w:w="189"/>
        <w:gridCol w:w="254"/>
        <w:gridCol w:w="781"/>
        <w:gridCol w:w="166"/>
        <w:gridCol w:w="297"/>
      </w:tblGrid>
      <w:tr>
        <w:trPr/>
        <w:tc>
          <w:tcPr>
            <w:tcW w:w="4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 excluding CLO income and purchase discount accretion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9,157</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19,199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discount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2,227</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income from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2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15,165</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32,763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2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Less: Purchase discount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(2,227</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Core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12,938</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27,760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Core investment income excludes the impact of purchase discount accretion in connection with the GARS, HCAP and LRFC mergers which is investment income as determined in accordance with U.S. Generally Accepted Accounting Principles (“U.S. GAAP”), excluding the impact of purchase discount accretion associated with the GARS, HCAP and LRFC mergers. We believe presenting investment income excluding the impact of the GARS, HCAP and LRFC merger-related purchase discount amortization and the related per share amount is useful and appropriate supplemental disclosure for analyzing our financial performance due to the unique circumstance giving rise to the purchase accounting adjustment. However, this measure is a non-U.S. GAAP measure and should not be considered as a replacement for investment income and other earnings measures presented in accordance with U.S. GAAP. Instead, this measure should be reviewed only in connection with such U.S. GAAP measures in analyzing the Company’s financial performance. A reconciliation of total investment income, determined in accordance with U.S. GAAP, to core investment income, which excludes the impact of purchase accounting, is detailed in the table above.</w:t>
      </w:r>
    </w:p>
    <w:p>
      <w:pPr>
        <w:pStyle w:val="TextBody"/>
        <w:bidi w:val="0"/>
        <w:spacing w:before="120" w:after="283"/>
        <w:jc w:val="both"/>
        <w:rPr>
          <w:rFonts w:ascii="Times New Roman" w:hAnsi="Times New Roman"/>
          <w:sz w:val="16"/>
        </w:rPr>
      </w:pPr>
      <w:r>
        <w:rPr>
          <w:rFonts w:ascii="Times New Roman" w:hAnsi="Times New Roman"/>
          <w:i/>
          <w:color w:val="000000"/>
          <w:sz w:val="16"/>
        </w:rPr>
        <w:t>Investment Income on Investments in CLO Fund Securities</w:t>
      </w:r>
      <w:r>
        <w:rPr>
          <w:rFonts w:ascii="Times New Roman" w:hAnsi="Times New Roman"/>
          <w:color w:val="000000"/>
          <w:sz w:val="16"/>
        </w:rPr>
        <w:t>. For the three months ended June 30, 2026 and 2025, approximately $0.0 million and $0.2 million, respectively, of investment income was attributable to investments in CLO Fund Securities. For the six months ended June 30, 2026 and 2025, approximately $0.0 million and $0.3 million, respectively, of investment income was attributable to investments in CLO Fund Securities. We generate investment income from our investments in the securities (typically preferred shares or subordinated securities) of CLO Funds. 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Secured Overnight Financing Rate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our U.S. GAAP statement of operations differs from both the tax–basis investment income and from the cash distributions actually received by us during the period. As a RIC, we anticipate a timely distribution of our tax-basis taxable income.</w:t>
      </w:r>
    </w:p>
    <w:p>
      <w:pPr>
        <w:pStyle w:val="TextBody"/>
        <w:bidi w:val="0"/>
        <w:spacing w:before="120" w:after="283"/>
        <w:jc w:val="both"/>
        <w:rPr>
          <w:rFonts w:ascii="Times New Roman" w:hAnsi="Times New Roman"/>
          <w:sz w:val="16"/>
        </w:rPr>
      </w:pPr>
      <w:r>
        <w:rPr>
          <w:rFonts w:ascii="Times New Roman" w:hAnsi="Times New Roman"/>
          <w:i/>
          <w:color w:val="000000"/>
          <w:sz w:val="16"/>
        </w:rPr>
        <w:t xml:space="preserve">Investments in Joint Ventures. </w:t>
      </w:r>
      <w:r>
        <w:rPr>
          <w:rFonts w:ascii="Times New Roman" w:hAnsi="Times New Roman"/>
          <w:color w:val="000000"/>
          <w:sz w:val="16"/>
        </w:rPr>
        <w:t>For the three months ended June 30, 2026 and 2025, we recognized $1.3 million and $1.2 million, respectively, in investment income from our investments in Joint Ventures. For the six months ended June 30, 2026 and 2025, we recognized $2.4 million and $2.6 million, respectively, in investment income from our investments in Joint Ventures. As of June 30, 2026, and December 31, 2025, the fair value of our investments in Joint Ventures was approximately $44.8 million and $48.2 million, respectively. The final determination of the tax attributes of distributions from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pStyle w:val="TextBody"/>
        <w:bidi w:val="0"/>
        <w:spacing w:before="120" w:after="283"/>
        <w:jc w:val="both"/>
        <w:rPr>
          <w:rFonts w:ascii="Times New Roman" w:hAnsi="Times New Roman"/>
          <w:sz w:val="16"/>
        </w:rPr>
      </w:pPr>
      <w:r>
        <w:rPr>
          <w:rFonts w:ascii="Times New Roman" w:hAnsi="Times New Roman"/>
          <w:i/>
          <w:color w:val="000000"/>
          <w:sz w:val="16"/>
        </w:rPr>
        <w:t>Fees and other income</w:t>
      </w:r>
      <w:r>
        <w:rPr>
          <w:rFonts w:ascii="Times New Roman" w:hAnsi="Times New Roman"/>
          <w:color w:val="000000"/>
          <w:sz w:val="16"/>
        </w:rPr>
        <w:t>. Origination fees (to the extent services are performed to earn such income upon closing), amendment fees, consent fees, and other fees associated with investments in portfolio companies are recognized as income when they are earned. Prepayment penalties received by the Company for debt instruments repaid prior to maturity date are recorded as income upon receipt. For the three months ended June 30, 2026 and 2025, approximately $0.1 million and $0.1 million, respectively, of investment income was attributable to fees and other income. For the six months ended June 30, 2026 and 2025, approximately $0.4 million and $0.3 million, respectively, of investment income was attributable to fees and other income.</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Expenses</w:t>
      </w:r>
    </w:p>
    <w:tbl>
      <w:tblPr>
        <w:tblW w:w="10151" w:type="dxa"/>
        <w:jc w:val="left"/>
        <w:tblInd w:w="0" w:type="dxa"/>
        <w:tblLayout w:type="fixed"/>
        <w:tblCellMar>
          <w:top w:w="28" w:type="dxa"/>
          <w:left w:w="28" w:type="dxa"/>
          <w:bottom w:w="28" w:type="dxa"/>
          <w:right w:w="28" w:type="dxa"/>
        </w:tblCellMar>
      </w:tblPr>
      <w:tblGrid>
        <w:gridCol w:w="3576"/>
        <w:gridCol w:w="146"/>
        <w:gridCol w:w="327"/>
        <w:gridCol w:w="853"/>
        <w:gridCol w:w="243"/>
        <w:gridCol w:w="243"/>
        <w:gridCol w:w="327"/>
        <w:gridCol w:w="853"/>
        <w:gridCol w:w="146"/>
        <w:gridCol w:w="146"/>
        <w:gridCol w:w="276"/>
        <w:gridCol w:w="846"/>
        <w:gridCol w:w="205"/>
        <w:gridCol w:w="205"/>
        <w:gridCol w:w="276"/>
        <w:gridCol w:w="846"/>
        <w:gridCol w:w="146"/>
        <w:gridCol w:w="491"/>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Performance-based incentive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and 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Administrative services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Directors’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9,647</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20,355</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connection with the Advisory Agreement, we pay the Adviser certain investment advisory fees and reimburse the Adviser and BC Partners Management LLC (the “Administrator”) for certain expenses incurred in connection with the services they provide. We bear our allocable portion of the compensation paid by the Adviser (or its affiliates) to our chief 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cost of calculating our net asset value, including the cost of any third-party valuation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cost of effecting any sales and repurchases of our common stock and other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fees and expenses payable under any dealer manager or placement agent agreements,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administration fees payable under the administration agreement (the “Administration Agreement”) between us and the Administrator and any sub-administration agreements, including related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debt service and other costs of borrowings or other financing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of hedging;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expenses, including travel expense, incurred by the Adviser, or members of the investment team, or payable to third parties, performing due diligence on prospective portfolio companies and, if necessary, enforcing our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transfer agent and custodial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fees and expenses associated with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federal and state registration fees, any stock exchange listing fees and fees payable to rating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federal, state and local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independent directors’ fees and expenses including certain travel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commissions and other compensation payable to brokers or dealers;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research and market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fidelity bond, directors and officers errors and omissions liability insurance and other insurance premiums;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direct costs and expenses of administration, including printing, mailing, long distance telephone and staff;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fees and expenses associated with independent audits, outside legal and consulting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of winding up our affairs;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incurred by either the Administrator or us in connection with administering our business, including payments under the Administration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extraordinary expenses (such as litigation or indemnification);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costs associated with reporting and compliance obligations under the 1940 Act and applicable federal and state securities laws.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Total expenses for the three months ended June 30, 2026 and 2025 were approximately $9.6 million and $8.1 million, respectively. Total expenses for the six months ended June 30, 2026 and 2025 were approximately $20.4 million and $15.9 million, respectively. The increase in total expenses for the six months ended June 30, 2026, in comparison to the prior year, was primarily driven by an increase in average debt outstanding and higher cost of capital as well as a higher management fee and professional fees. </w:t>
      </w:r>
    </w:p>
    <w:p>
      <w:pPr>
        <w:pStyle w:val="TextBody"/>
        <w:bidi w:val="0"/>
        <w:spacing w:before="120" w:after="283"/>
        <w:jc w:val="both"/>
        <w:rPr>
          <w:rFonts w:ascii="Times New Roman" w:hAnsi="Times New Roman"/>
          <w:sz w:val="16"/>
        </w:rPr>
      </w:pPr>
      <w:r>
        <w:rPr>
          <w:rFonts w:ascii="Times New Roman" w:hAnsi="Times New Roman"/>
          <w:i/>
          <w:color w:val="000000"/>
          <w:sz w:val="16"/>
        </w:rPr>
        <w:t xml:space="preserve">Management Fees and Incentive Fees. </w:t>
      </w:r>
      <w:r>
        <w:rPr>
          <w:rFonts w:ascii="Times New Roman" w:hAnsi="Times New Roman"/>
          <w:color w:val="000000"/>
          <w:sz w:val="16"/>
        </w:rPr>
        <w:t>Management fees for the three months ended June 30, 2026 and 2025 were approximately $1.6 million and $1.4 million, respectively. Management fees for the six months ended June 30, 2026 and 2025 were approximately $3.3 million and $2.9 million, respectively. The Company did not incur any incentive fees for the three months ended June 30, 2026, compared to approximately $1.0 million for the three months ended June 30, 2025. The Company incurred incentive fees of approximately $0.9 million and $1.9 million for the six months ended June 30, 2026 and 2025.</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16"/>
        </w:rPr>
      </w:pPr>
      <w:r>
        <w:rPr>
          <w:rFonts w:ascii="Times New Roman" w:hAnsi="Times New Roman"/>
          <w:i/>
          <w:color w:val="000000"/>
          <w:sz w:val="16"/>
        </w:rPr>
        <w:t>Interest and Amortization of Debt Issuance Costs</w:t>
      </w:r>
      <w:r>
        <w:rPr>
          <w:rFonts w:ascii="Times New Roman" w:hAnsi="Times New Roman"/>
          <w:color w:val="000000"/>
          <w:sz w:val="16"/>
        </w:rPr>
        <w:t>. Interest expense is dependent on the average outstanding balance on our borrowings and the base index rate for the period for floating rate debt. Debt issuance costs represent fees and other direct costs incurred in connection with our borrowings. These amounts are capitalized and amortized over the expected term of the borrowing. For the three months ended June 30, 2026 and 2025, interest expense and amortization of debt issuance costs and original issue discount for the period was approximately $5.9 million and $4.2 million, respectively, on average debt outstanding of $304.9 million and $255.4 million, respectively. For the six months ended June 30, 2026 and 2025, interest expense and amortization of debt issuance costs and original issue discount for the period was approximately $11.7 million and $8.5 million, respectively, on average debt outstanding of $305.9 million and $258.4 million, respectively.</w:t>
      </w:r>
    </w:p>
    <w:p>
      <w:pPr>
        <w:pStyle w:val="TextBody"/>
        <w:bidi w:val="0"/>
        <w:spacing w:before="120" w:after="283"/>
        <w:jc w:val="both"/>
        <w:rPr>
          <w:rFonts w:ascii="Times New Roman" w:hAnsi="Times New Roman"/>
          <w:sz w:val="16"/>
        </w:rPr>
      </w:pPr>
      <w:r>
        <w:rPr>
          <w:rFonts w:ascii="Times New Roman" w:hAnsi="Times New Roman"/>
          <w:i/>
          <w:color w:val="000000"/>
          <w:sz w:val="16"/>
        </w:rPr>
        <w:t>Directors' Expense.</w:t>
      </w:r>
      <w:r>
        <w:rPr>
          <w:rFonts w:ascii="Times New Roman" w:hAnsi="Times New Roman"/>
          <w:color w:val="000000"/>
          <w:sz w:val="16"/>
        </w:rPr>
        <w:t xml:space="preserve"> Directors’ expense for the three months ended June 30, 2026 and 2025 were approximately $0.1 million and $0.1 million, respectively. Directors’ expense for the six months ended June 30, 2026 and 2025 were approximately $0.2 million and $0.3 million, respectively.</w:t>
      </w:r>
    </w:p>
    <w:p>
      <w:pPr>
        <w:pStyle w:val="TextBody"/>
        <w:bidi w:val="0"/>
        <w:spacing w:before="120" w:after="283"/>
        <w:jc w:val="both"/>
        <w:rPr>
          <w:rFonts w:ascii="Times New Roman" w:hAnsi="Times New Roman"/>
          <w:sz w:val="16"/>
        </w:rPr>
      </w:pPr>
      <w:r>
        <w:rPr>
          <w:rFonts w:ascii="Times New Roman" w:hAnsi="Times New Roman"/>
          <w:i/>
          <w:color w:val="000000"/>
          <w:sz w:val="16"/>
        </w:rPr>
        <w:t xml:space="preserve">Professional Fees and General and Administrative Expenses. </w:t>
      </w:r>
      <w:r>
        <w:rPr>
          <w:rFonts w:ascii="Times New Roman" w:hAnsi="Times New Roman"/>
          <w:color w:val="000000"/>
          <w:sz w:val="16"/>
        </w:rPr>
        <w:t>The balance of our expenses includes professional fees (primarily legal, accounting, valuation and other professional services), insurance costs and administrative services expense under the Administration Agreement and general administrative and other costs.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three months ended June 30, 2026 and 2025, professional fees totaled approximately $0.7 million and $0.4 million, respectively. For the six months ended June 30, 2026 and 2025, professional fees totaled approximately $1.6 million and $0.9 million,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three months ended June 30, 2026 and 2025, administrative services expense was approximately $0.6 million and $0.5 million, respectively. For the six months ended June 30, 2026 and 2025, administrative services expense was approximately $1.1 million and $0.9 million,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For the three months ended June 30, 2026 and 2025, other general and administrative expenses, which includes insurance, technology and other office and administrative expenses, totaled approximately $0.7 million and $0.4 million, respectively. For the six months ended June 30, 2026 and 2025, other general and administrative expenses, which includes insurance, technology and other office and administrative expenses, totaled approximately $1.4 million and $0.5 million, respectively. </w:t>
      </w:r>
    </w:p>
    <w:p>
      <w:pPr>
        <w:pStyle w:val="TextBody"/>
        <w:bidi w:val="0"/>
        <w:spacing w:before="240" w:after="283"/>
        <w:jc w:val="both"/>
        <w:rPr>
          <w:rFonts w:ascii="Times New Roman" w:hAnsi="Times New Roman"/>
          <w:sz w:val="16"/>
        </w:rPr>
      </w:pPr>
      <w:r>
        <w:rPr>
          <w:rFonts w:ascii="Times New Roman" w:hAnsi="Times New Roman"/>
          <w:b/>
          <w:color w:val="000000"/>
          <w:sz w:val="16"/>
        </w:rPr>
        <w:t>Net Investment Income</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three months ended June 30, 2026, net investment income was approximately $5.5 million, or $0.45 per basic and diluted share, while tax-basis distributable income was approximately $3.6 million, or $0.29 per basic and diluted share. For the three months ended June 30, 2025, net investment income was approximately $4.6 million, or $0.50 per basic and diluted share, while tax-basis distributable income was approximately $4.3 million, or $0.47 per basic and diluted share. For the six months ended June 30, 2026, net investment income was approximately $12.4 million, or $1.00 per basic and diluted share, while tax-basis distributable income was approximately $7.7 million, or $0.62 per basic and diluted share. For the six months ended June 30, 2025, net investment income was approximately $8.9 million, or $0.97 per basic and diluted share, while tax-basis distributable income was approximately $9.0 million, or $0.98 per basic and diluted share.</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Net Realized Gain (Loss) on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Investments are carried at fair value, with changes in fair value recorded as unrealized appreciation (depreciation) in the statement of operations. When an investment is sold or liquidated, any previously recognized unrealized appreciation (depreciation) is reversed and a corresponding amount is recognized as realized gain (loss). During the three and six months ended June 30, 2026, the Company recognized $10.5 million and $12.5 million of net realized losses on our portfolio investments. During the three and six months ended June 30, 2025, the Company recognized $15.8 million and $16.0 million of net realized losses on our portfolio investments.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Net Change in Unrealized Appreciation (Depreciation) on Investments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838"/>
        <w:gridCol w:w="146"/>
        <w:gridCol w:w="292"/>
        <w:gridCol w:w="854"/>
        <w:gridCol w:w="248"/>
        <w:gridCol w:w="218"/>
        <w:gridCol w:w="292"/>
        <w:gridCol w:w="854"/>
        <w:gridCol w:w="166"/>
        <w:gridCol w:w="146"/>
        <w:gridCol w:w="261"/>
        <w:gridCol w:w="884"/>
        <w:gridCol w:w="221"/>
        <w:gridCol w:w="195"/>
        <w:gridCol w:w="261"/>
        <w:gridCol w:w="764"/>
        <w:gridCol w:w="166"/>
        <w:gridCol w:w="399"/>
      </w:tblGrid>
      <w:tr>
        <w:trPr/>
        <w:tc>
          <w:tcPr>
            <w:tcW w:w="3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8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(1,855</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(4,173</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net change in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(4,734</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(19,372</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three months ended June 30, 2026, our total investments had net change in unrealized appreciation (depreciation) on investments of approximately $(4.7) million. The net change in unrealized appreciation (depreciation) on investments is made up of approximately $(2.9) million on equity securities, $(2.3) million on our Joint Ventures investments, $(1.1) million on CLO Fund Securities, and $1.6 million on our debt securities. During the three months ended June 30, 2025, our total investments had net change in unrealized appreciation (depreciation) on investments of approximately $6.6 million. The net change in unrealized appreciation (depreciation) on investments is made up of approximately $0.9 million on equity securities, $(0.7) million on our Joint Ventures investments, $(0.1) million on CLO Fund Securities, and $6.5 million on our debt securities.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six months ended June 30, 2026, our total investments had net change in unrealized appreciation (depreciation) on investments of approximately $(19.4) million. The net change in unrealized appreciation (depreciation) on investments is made up of approximately $(5.4) million on our Joint Ventures investments, $(1.2) million on CLO Fund Securities, and $(12.8) million on our debt securities. During the six months ended June 30, 2025, our total investments had net change in unrealized appreciation (depreciation) on investments of approximately $2.7 million. The net change in unrealized appreciation (depreciation) on investments is made up of approximately $2.1 million on equity securities, $(3.5) million on our Joint Ventures investments, $0.9 million on CLO Fund Securities, and $3.2 million on our debt securities.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Net Change in Net Assets Resulting from Operations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net increase (decrease) in net assets resulting from operations for the three months ended June 30, 2026 was $(9.9) million, or $(0.80) per basic share and diluted share. The net increase (decrease) in net assets resulting from operations for the three months ended June 30, 2025 was $(4.5) million, or $(0.49) per basic and diluted share. The net increase (decrease) in net assets resulting from operations for the six months ended June 30, 2026 was $(20.0) million, or $(1.62) per basic share and diluted share. The net increase (decrease) in net assets resulting from operations for the six months ended June 30, 2025 was $(4.6) million, or $(0.50) per basic and diluted share.</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FINANCIAL CONDITION, LIQUIDITY, AND CAPITAL RESOURCES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June 30, 2026 and December 31, 2025, the fair value of investments and cash were as follows:</w:t>
      </w:r>
    </w:p>
    <w:p>
      <w:pPr>
        <w:pStyle w:val="TextBody"/>
        <w:bidi w:val="0"/>
        <w:spacing w:before="120" w:after="283"/>
        <w:jc w:val="both"/>
        <w:rPr/>
      </w:pPr>
      <w:r>
        <w:rPr/>
        <w:t> </w:t>
      </w:r>
    </w:p>
    <w:tbl>
      <w:tblPr>
        <w:tblW w:w="5327" w:type="dxa"/>
        <w:jc w:val="left"/>
        <w:tblInd w:w="0" w:type="dxa"/>
        <w:tblLayout w:type="fixed"/>
        <w:tblCellMar>
          <w:top w:w="28" w:type="dxa"/>
          <w:left w:w="28" w:type="dxa"/>
          <w:bottom w:w="28" w:type="dxa"/>
          <w:right w:w="28" w:type="dxa"/>
        </w:tblCellMar>
      </w:tblPr>
      <w:tblGrid>
        <w:gridCol w:w="2311"/>
        <w:gridCol w:w="146"/>
        <w:gridCol w:w="196"/>
        <w:gridCol w:w="691"/>
        <w:gridCol w:w="146"/>
        <w:gridCol w:w="146"/>
        <w:gridCol w:w="331"/>
        <w:gridCol w:w="1169"/>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Security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513,478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Subject to market conditions, we intend to grow our portfolio of assets by raising additional capital, including through the prudent use of leverage available to us. As a BDC, we are limited in the amount of leverage we can incur under the 1940 Act. Effective March 29, 2019, we are allowed to borrow amounts such that our asset coverage, as defined in the 1940 Act, equals at least 150% after such borrowing.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pStyle w:val="TextBody"/>
        <w:bidi w:val="0"/>
        <w:spacing w:before="240" w:after="283"/>
        <w:jc w:val="both"/>
        <w:rPr>
          <w:rFonts w:ascii="Times New Roman" w:hAnsi="Times New Roman"/>
          <w:sz w:val="16"/>
        </w:rPr>
      </w:pPr>
      <w:r>
        <w:rPr>
          <w:rFonts w:ascii="Times New Roman" w:hAnsi="Times New Roman"/>
          <w:b/>
          <w:color w:val="000000"/>
          <w:sz w:val="16"/>
        </w:rPr>
        <w:t>Borrowings</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June 30, 2026, we had approximately $286.1 million of par value of outstanding borrowings and our asset coverage ratio of total assets to total borrowings was 162%, compliant with the minimum asset coverage level of 150% generally required for a BDC by the 1940 Act. We may also borrow amounts of up to 5% of the value of our total assets for temporary purposes.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Small Business Credit Availability Act (the “SBCA”) has modified the 1940 Act by allowing a BDC to increase the maximum amount of leverage it may incur from an asset coverage ratio of 200% to an asset coverage ratio of 150%, if certain requirements are met. On March 29, 2018, the Board, including a “required majority” (as such term is defined in Section 57(o) of the 1940 Act) of its Board, approved the modified asset coverage requirements set forth in Section 61(a)(2) of the 1940 Act, as amended by the SBCA. As a result, our asset coverage requirements for senior securities changed from 200% to 150%, effective as of March 29, 2019. </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2026 Notes Outstanding</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Effective July 15, 2025, as a result of the completion of the LRFC Acquisition, the Company succeeded to the obligations of LRFC under LRFC’s 5.25% fixed-rate notes due October 30, 2026 (the “2026 Notes”). The 2026 Notes were originally issued on October 29, 2021, in an aggregate principal amount of $50.0 million pursuant to a supplemental indenture with U.S. Bank Trust Company, National Association (the “Trustee”), which supplements the base indenture, dated June 16, 2014. The 2026 Notes bear interest at a rate of 5.25% per annum, payable semi-annually on April 30 and October 30 of each year, commencing April 30, 2022. On March 28, 2024, the notes were downgraded below Investment Grade by a Nationally Recognized Statistical Rating Organization (“NRSRO”), resulting in a step-up in the interest rate to 6.00% per annum. On October 7, 2025, the Company obtained a BBB- rating from a NRSRO with respect to the 2026 Notes. Starting on October 7, 2025, as a result of the rating, the 2026 Notes have a fixed interest rate of 5.25% per annum, which remained the rate applicable from the date of the change through June 30, 2026. On March 27, 2026, the Company notified the Trustee of its election to redeem $40.0 million aggregate outstanding principal of its 5.25% Notes due 2026 pursuant to the terms of the Base Indenture, the Fourth Supplemental Indenture and the Fifth Supplemental Indenture. The redemption was executed on April 27, 2026 and the $40.0 million aggregate principal was redeemed at par plus accrued interest and a make-whole payment calculated in accordance with the Fourth Supplemental Indenture which resulted in a loss of approximately $0.4 million. As of June 30, 2026, there was approximately $10.0 million of outstanding principal on the 2026 Notes.</w:t>
      </w:r>
    </w:p>
    <w:p>
      <w:pPr>
        <w:pStyle w:val="TextBody"/>
        <w:bidi w:val="0"/>
        <w:spacing w:before="60" w:after="283"/>
        <w:jc w:val="both"/>
        <w:rPr>
          <w:rFonts w:ascii="Times New Roman" w:hAnsi="Times New Roman"/>
          <w:i/>
          <w:color w:val="000000"/>
          <w:sz w:val="16"/>
        </w:rPr>
      </w:pPr>
      <w:r>
        <w:rPr>
          <w:rFonts w:ascii="Times New Roman" w:hAnsi="Times New Roman"/>
          <w:i/>
          <w:color w:val="000000"/>
          <w:sz w:val="16"/>
        </w:rPr>
        <w:t>2028 Notes Outstanding</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On October 10, 2025, the Company entered into a note purchase agreement (the “2028 &amp; 2030 Note Purchase Agreement”), by and among the Company and each purchaser named therein, in connection with the issuance and sale of $35.0 million in aggregate principal amount of the Company’s 7.50% notes due 2028 (the “2028 Notes”), pursuant to an effective shelf registration statement on Form N-2, as amended, which was declared effective on February 10, 2025. In conjunction therewith, the Company and the Trustee entered into a Fourth Supplemental Indenture relating to the 2028 Notes (the “Fourth Supplemental Indenture”), which supplements that certain Base Indenture, dated as of October 10, 2012 (as may be further amended, supplemented or otherwise modified from time to time, the “Base Indenture” and, together with the Fourth Supplemental Indenture, the “2028 Notes Indenture”). The net proceeds to the Company were approximately $34.1 million, which is net of a 1.5% discount and allocated deferred financing costs. The 2028 Notes bear interest at the rate of 7.50% per year, payable semi-annually on April 30 and October 30 of each year, commencing on October 30, 2025 and will mature on October 15, 2028. The indenture governing the 2028 Notes contains certain restrictive covenants, including compliance with certain provisions of the 1940 Act relating to borrowing and dividends. As of June 30, 2026, there was approximately $35.0 million of outstanding principal, and we were in compliance with all of our debt covenants on the 2028 Notes.</w:t>
      </w:r>
    </w:p>
    <w:p>
      <w:pPr>
        <w:pStyle w:val="TextBody"/>
        <w:bidi w:val="0"/>
        <w:spacing w:before="60" w:after="283"/>
        <w:jc w:val="both"/>
        <w:rPr>
          <w:rFonts w:ascii="Times New Roman" w:hAnsi="Times New Roman"/>
          <w:i/>
          <w:color w:val="000000"/>
          <w:sz w:val="16"/>
        </w:rPr>
      </w:pPr>
      <w:r>
        <w:rPr>
          <w:rFonts w:ascii="Times New Roman" w:hAnsi="Times New Roman"/>
          <w:i/>
          <w:color w:val="000000"/>
          <w:sz w:val="16"/>
        </w:rPr>
        <w:t>2029 Notes Outstanding</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On March 20, 2026, the Company entered into a 2029 Note Purchase Agreement, by and among the Company and each purchaser named therein, in connection with the issuance and sale of $50.0 million in aggregate principal amount of the Company’s 7.50% notes due 2029 (the “2029 Notes”), pursuant to an effective shelf registration statement on Form N-2, as amended, which was declared effective on February 10, 2025. In conjunction therewith, the Company and the Trustee entered into a Sixth Supplemental Indenture relating to the 2029 Notes (the “Sixth Supplemental Indenture”), which supplements that certain Base Indenture, dated as of October 10, 2012 (as may be further amended, supplemented or otherwise modified from time to time, the “Base Indenture” and, together with the Sixth Supplemental Indenture, the “2029 Notes Indenture”). The net proceeds to the Company were approximately $49.1 million, which is net of deferred financing costs. The 2029 Notes bear interest at the rate of 7.50% per year, payable semi-annually on April 30 and October 30 of each year, commencing on April 30, 2026 and will mature on September 24, 2029. The indenture governing the 2029 Notes contains certain restrictive covenants, including compliance with certain provisions of the 1940 Act relating to borrowing and dividends. As of June 30, 2026, there was approximately $50.0 million of outstanding principal, and we were in compliance with all of our debt covenants on the 2029 Notes.</w:t>
      </w:r>
    </w:p>
    <w:p>
      <w:pPr>
        <w:pStyle w:val="TextBody"/>
        <w:bidi w:val="0"/>
        <w:spacing w:before="60" w:after="283"/>
        <w:jc w:val="both"/>
        <w:rPr>
          <w:rFonts w:ascii="Times New Roman" w:hAnsi="Times New Roman"/>
          <w:i/>
          <w:color w:val="000000"/>
          <w:sz w:val="16"/>
        </w:rPr>
      </w:pPr>
      <w:r>
        <w:rPr>
          <w:rFonts w:ascii="Times New Roman" w:hAnsi="Times New Roman"/>
          <w:i/>
          <w:color w:val="000000"/>
          <w:sz w:val="16"/>
        </w:rPr>
        <w:t>2030 Notes Outstanding</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 xml:space="preserve">On October 10, 2025, the Company entered into a 2028 &amp; 2030 Note Purchase Agreement, by and among the Company and each purchaser named therein, in connection with the issuance and sale of $75.0 million in aggregate principal amount of the Company’s 7.75% notes due 2030 (the “2030 Notes”), pursuant to an effective shelf registration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statement on Form N-2, as amended, which was declared effective on February 10, 2025. In conjunction therewith, the Company and the Trustee entered into a Fifth Supplemental Indenture relating to the 2030 Notes (the “Fifth Supplemental Indenture”), which supplements the Base Indenture (together with the Fifth Supplemental Indenture, the “2030 Notes Indenture”).The net proceeds to the Company were approximately $72.5 million, which is net of a 2.25% discount and allocated deferred financing costs. The 2030 Notes bear interest at the rate of 7.75% per year, payable semi-annually on April 30 and October 30 of each year, commencing on October 30, 2025 and will mature on October 15, 2030. The indenture governing the 2030 Notes contains certain restrictive covenants, including compliance with certain provisions of the 1940 Act relating to borrowing and dividends. As of June 30, 2026, there was approximately $75.0 million of principal outstanding, and we were in compliance with all of our debt covenants on the 2030 Notes.</w:t>
      </w:r>
    </w:p>
    <w:p>
      <w:pPr>
        <w:pStyle w:val="TextBody"/>
        <w:bidi w:val="0"/>
        <w:spacing w:before="60" w:after="283"/>
        <w:jc w:val="both"/>
        <w:rPr>
          <w:rFonts w:ascii="Times New Roman" w:hAnsi="Times New Roman"/>
          <w:i/>
          <w:color w:val="000000"/>
          <w:sz w:val="16"/>
        </w:rPr>
      </w:pPr>
      <w:r>
        <w:rPr>
          <w:rFonts w:ascii="Times New Roman" w:hAnsi="Times New Roman"/>
          <w:i/>
          <w:color w:val="000000"/>
          <w:sz w:val="16"/>
        </w:rPr>
        <w:t>2032 Convertible Notes Outstanding</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 xml:space="preserve">Effective July 15, 2025, as a result of the completion of the LRFC Acquisition, the Company succeeded to the obligations of LRFC under LRFC’s 5.25% fixed-rate convertible notes due April 1, 2032 (the “2032 Convertible Notes”). The 2032 Convertible Notes had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On March 28, 2024, the Company obtained a BB+ rating from a NRSRO with respect to the 2032 Convertible Notes. Starting on March 28, 2024, and commencing through the date of the financial statements, as a result of the rating downgrade, the 2032 Convertible Notes have a fixed interest rate of 6.00% per annum. On October 7, 2025, the Company obtained a BBB- rating from a NRSRO with respect to the 2032 Convertible Notes. Starting on October 7, 2025, as a result of the rating, the 2032 Convertible Notes have a fixed interest rate of 5.25% per annum, which remained the rate applicable from the date of the change through June 30, 2026. The 2032 Convertible Notes were originally issued by LRFC on April 1, 2022, in an aggregate principal amount of $15.0 million. As of July 15, 2025, the Company assumed $2.5 million in outstanding principal amount of the 2032 Convertible Notes. The notes are convertible, at the holder’s option and at any time prior to maturity, into shares of the Company’s common stock based on a conversion formula defined in the governing purchase agreement. As of June 30, 2026, there was approximately $2.0 million of outstanding principal. </w:t>
      </w:r>
    </w:p>
    <w:p>
      <w:pPr>
        <w:pStyle w:val="TextBody"/>
        <w:bidi w:val="0"/>
        <w:spacing w:before="60" w:after="283"/>
        <w:jc w:val="both"/>
        <w:rPr>
          <w:rFonts w:ascii="Times New Roman" w:hAnsi="Times New Roman"/>
          <w:sz w:val="16"/>
        </w:rPr>
      </w:pPr>
      <w:r>
        <w:rPr>
          <w:rFonts w:ascii="Times New Roman" w:hAnsi="Times New Roman"/>
          <w:i/>
          <w:color w:val="000000"/>
          <w:sz w:val="16"/>
        </w:rPr>
        <w:t>Revolving Credit Facility</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December 18, 2019, Great Lakes Portman Ridge Funding LLC (“GLPRF LLC”), a wholly-owned subsidiary of the Company, entered into a senior secured revolving credit facility (as amended, restated or otherwise modified from time to time, the “Revolving Credit Facility”) with JPMorgan Chase Bank, National Association (“JPM”). JPM serves as administrative agent, the Trustee serves as collateral agent, securities intermediary and collateral administrator, and the Company serves as portfolio manager under the Revolving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GLPRF LLC is required to utilize a minimum of the commitments under the Revolving Credit Facility. Unused amounts below such minimum utilization amount accrue interest as if such amounts are outstanding as borrowings under the Revolving Credit Facility. In addition, GLPRF LLC pays a non-usage fee during the reinvestment period on the average daily unborrowed portion of the financing commitments in excess of such minimum utilization amount.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initial principal amount of the Revolving Credit Facility was $115.0 million. The Revolving Credit Facility has an accordion feature, subject to the satisfaction of various conditions, which could bring total commitments under the Revolving Credit Facility to up to $215.0 million. Proceeds from borrowings under the Revolving Credit Facility may be used to fund portfolio investments by GLPRF LLC and to make advances under delayed draw term loans where GLPRF LLC is a lender.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April 29, 2022, GLPRF LLC amended the Revolving Credit Facility with JPM as administrative agent. The amended agreement replaced three-month SOFR as the benchmark interest rate and reduced the applicable margin to 2.80% per annum from 2.85% per annum.</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July 23, 2024, GLPRF LLC amended the Revolving Credit Facility with JPM as administrative agent. The amended agreement, among other things, (i) provided for a committed increase to the aggregate principal amount of the Revolving Credit Facility in an amount not to exceed $85.0 million, for a total commitment of $200.0 million, which increase became effective on August 20, 2024, (ii) provided for a committed seven-day bridge advance in an aggregate principal amount of $18.3 million, which advance became effective on August 20, 2024, (iii) reduced the applicable margin on the Revolving Credit Facility to 2.50% per annum, (iv) extended the period in which the Company may request advances under the Revolving Credit Facility to August 29, 2026, (v) extended the stated maturity of the Revolving Credit Facility to August 29, 2027, (vi) reduced the requirement to utilize a minimum of commitments under the Revolving Credit Facility to 70%, (vii) reduced the non-usage fee applicable during the reinvestment period to 0.55% per annum on the average daily unborrowed portion of the financing commitments in excess of the minimum utilization amount, (viii) extended the non-call period under the Revolving Credit Facility to April 29, 2025, and (ix) provided for certain fees to be paid to the administrative agent and the lenders in connection therewith.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9, 2026, GLPRF LLC amended the Revolving Credit Facility with JPM as administrative agent, The amended agreement, among other things, provided for a decrease in the aggregate financing commitments under the Revolving Credit Facility to $125.0 million.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GLPRF LLC’s obligations to the lenders under the Revolving Credit Facility are secured by a first priority security interest in all of GLPRF LLC’s portfolio of investments and cash. The obligations of GLPRF LLC under the Revolving Credit Facility are non-recourse to the Company, and the Company’s exposure under the Revolving Credit Facility is limited to the value of the Company’s investment in GLPRF LLC.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the Company is no longer the portfolio manager of GLPRF LLC. Upon the occurrence and during the continuation of an event of default, JPM may declare the outstanding advances and all other obligations under the Revolving Credit Facility immediately due and payable.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occurrence of an event of default (as described above) or a market value event (as defined in the Revolving Credit Facility) triggers a requirement that GLPRF LLC obtain the consent of JPM prior to entering into certain sales or dispositions with respect to portfolio assets, and the occurrence of a market value event triggers the right of JPM to direct GLPRF LLC to enter into sales or dispositions with respect to any portfolio assets, in each case in JPM’s sole discretion.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June 30, 2026, GLPRF LLC was in compliance with all of its debt covenants and there was approximately $66.5 million principal amount of borrowings outstanding under the Revolving Credit Facility.</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KeyBank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Effective July 15, 2025, as a result of the completion of the LRFC Acquisition, we succeeded to the obligations of LRFC under a senior secured revolving credit facility previously entered into by LRFC on October 30, 2020. In October 2020, CBL, a direct, wholly owned, consolidated subsidiary of LRFC, entered into the KeyBank Credit Facility with the investment adviser at the time, as collateral manager, the lenders from time to time parties thereto (each, a “Lender”), KeyBank National Association, as administrative agent, and the Trustee, as custodian. The KeyBank Credit Facility was amended on May 10, 2022, October 20, 2022, and August 21, 2024. Under the KeyBank Credit Facility, the Lenders have agreed to extend credit to CBL in an aggregate principal amount of up to $75.0 million, with an uncommitted accordion feature that allows the Company to borrow up to an additional $125.0 million. The KeyBank Credit Facility matures on August 21, 2029, unless there is an earlier termination or event of default. The period during which the Lenders may make loans to CBL under the KeyBank Credit Facility commenced on October 30, 2020 and will continue through August 21, 2027, unless there is an earlier termination or event of default. Borrowings under the KeyBank Credit Facility bear interest at 1M Term SOFR plus 2.80% during the reinvestment period and 3.20% thereafter, with a 0.40% 1M Term SOFR floor. CBL will also pay an unused commitment fee at a rate of (1) 0.75% if utilization is less than or equal to 50.0%, (2) 0.50% if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utilization is greater than 50.0% but less than or equal to 75.0%, or (3) 0.25% if utilization is greater than 75.0%, per annum on the unutilized portion of the aggregate commitments under the KeyBank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June 30, 2026, the Company was in compliance with all of its debt covenants and there was approximately $47.5 million principal amount of borrowings outstanding under the KeyBank Credit Facility.</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Stockholder Distributions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intend to continue to make monthly or quarterly distributions to our stockholders. To avoid certain excise taxes imposed on RICs, we generally endeavor to distribute during each calendar year an amount at least equal to the sum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98% of our ordinary net taxable income for the calendar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98.2% of our capital gains, if any, in excess of capital losses for the one-year period ending on October 31 of the calendar year;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any net ordinary income and net capital gains for the preceding year that were not distributed during such year and on which we do not pay corporate tax.</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may choose to carry forward taxable income in excess of current year distributions into the next tax year and pay a 4% excise tax on such income, to the extent required.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amount of our declared distributions, as evaluated by management and approved by our Board, is based primarily on our evaluation of our net investment income and distributable taxable income.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we decide to make any distributions consistent with this guidance that are payable in part in our stock, taxable stockholders receiving such dividends will be required to include the full amount of the dividend (whether received in cash, shares of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are also prohibited by the 1940 Act and the indentures governing our 2026 Notes, 2028 Notes, 2029 Notes, 2030 Notes and 2032 Convertible Notes from declaring dividends (except a dividend payable in our stock) or making distributions on our common stock, or purchasing any such stock, if, at the time of declaration or at the time of any such purchase, our asset coverage, as defined in the 1940 Act, is below the threshold specified in Section 18(a)(1)(B) as modified by Section 61(a)(2) of the 1940 Act or any successor provisions thereto of the 1940 Act, after deducting the amount of such dividend, distribution or purchase price, as the case may be, and giving effect, in each case (i) to any exemptive relief granted to us by the SEC and (ii) to any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its status as a RIC under the Code. In any such event, we would be prohibited from making distributions required in order to maintain our status as a RIC unless made in accordance with any such exemptive or no-action relief granted by the SEC.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sets forth the quarterly distributions paid by us since the beginning of 2023.</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370"/>
        <w:gridCol w:w="146"/>
        <w:gridCol w:w="310"/>
        <w:gridCol w:w="666"/>
        <w:gridCol w:w="146"/>
        <w:gridCol w:w="146"/>
        <w:gridCol w:w="522"/>
        <w:gridCol w:w="1123"/>
        <w:gridCol w:w="146"/>
        <w:gridCol w:w="146"/>
        <w:gridCol w:w="988"/>
        <w:gridCol w:w="146"/>
        <w:gridCol w:w="2251"/>
        <w:gridCol w:w="146"/>
        <w:gridCol w:w="1953"/>
      </w:tblGrid>
      <w:tr>
        <w:trPr/>
        <w:tc>
          <w:tcPr>
            <w:tcW w:w="1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w:t>
              <w:br/>
              <w:t>Distribution</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Supplemental Distribution</w:t>
              <w:br/>
              <w:t>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Declaration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 Date</w:t>
            </w:r>
          </w:p>
        </w:tc>
      </w:tr>
      <w:tr>
        <w:trPr/>
        <w:tc>
          <w:tcPr>
            <w:tcW w:w="1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Second quarter</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4/15/2026, 5/15/2026, 5/18/2026, 6/15/2026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4/30/2026, 5/29/2026, 6/30/2026</w:t>
            </w:r>
          </w:p>
        </w:tc>
      </w:tr>
      <w:tr>
        <w:trPr/>
        <w:tc>
          <w:tcPr>
            <w:tcW w:w="1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3/27/2026</w:t>
            </w:r>
          </w:p>
        </w:tc>
      </w:tr>
      <w:tr>
        <w:trPr/>
        <w:tc>
          <w:tcPr>
            <w:tcW w:w="1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declared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11/25/2025</w:t>
            </w:r>
          </w:p>
        </w:tc>
      </w:tr>
      <w:tr>
        <w:trPr/>
        <w:tc>
          <w:tcPr>
            <w:tcW w:w="1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8/29/2025</w:t>
            </w:r>
          </w:p>
        </w:tc>
      </w:tr>
      <w:tr>
        <w:trPr/>
        <w:tc>
          <w:tcPr>
            <w:tcW w:w="1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5/29/2025</w:t>
            </w:r>
          </w:p>
        </w:tc>
      </w:tr>
      <w:tr>
        <w:trPr/>
        <w:tc>
          <w:tcPr>
            <w:tcW w:w="1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3/31/2025</w:t>
            </w:r>
          </w:p>
        </w:tc>
      </w:tr>
      <w:tr>
        <w:trPr/>
        <w:tc>
          <w:tcPr>
            <w:tcW w:w="1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declared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11/29/2024</w:t>
            </w:r>
          </w:p>
        </w:tc>
      </w:tr>
      <w:tr>
        <w:trPr/>
        <w:tc>
          <w:tcPr>
            <w:tcW w:w="1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8/30/2024</w:t>
            </w:r>
          </w:p>
        </w:tc>
      </w:tr>
      <w:tr>
        <w:trPr/>
        <w:tc>
          <w:tcPr>
            <w:tcW w:w="1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5/31/2024</w:t>
            </w:r>
          </w:p>
        </w:tc>
      </w:tr>
      <w:tr>
        <w:trPr/>
        <w:tc>
          <w:tcPr>
            <w:tcW w:w="1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4/2/2024</w:t>
            </w:r>
          </w:p>
        </w:tc>
      </w:tr>
      <w:tr>
        <w:trPr/>
        <w:tc>
          <w:tcPr>
            <w:tcW w:w="1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declared in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11/30/2023</w:t>
            </w:r>
          </w:p>
        </w:tc>
      </w:tr>
      <w:tr>
        <w:trPr/>
        <w:tc>
          <w:tcPr>
            <w:tcW w:w="1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8/31/2023</w:t>
            </w:r>
          </w:p>
        </w:tc>
      </w:tr>
      <w:tr>
        <w:trPr/>
        <w:tc>
          <w:tcPr>
            <w:tcW w:w="1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5/31/2023</w:t>
            </w:r>
          </w:p>
        </w:tc>
      </w:tr>
      <w:tr>
        <w:trPr/>
        <w:tc>
          <w:tcPr>
            <w:tcW w:w="1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3/31/2023</w:t>
            </w:r>
          </w:p>
        </w:tc>
      </w:tr>
      <w:tr>
        <w:trPr/>
        <w:tc>
          <w:tcPr>
            <w:tcW w:w="1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declared in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both"/>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On March 5, 2026, the Company declared regular monthly base distributions of $0.09 per share of common stock for each of April, May and June 2026 and a supplemental distribution of $0.03 per share of common stock, payable together with the May 2026 regular monthly base distribution. The April 2026 regular monthly base distribution was paid on April 30, 2026 to stockholders of record at the close of business on April 15, 2026. The May 2026 regular monthly base distribution and supplemental distribution were paid on May 29, 2026 to stockholders of record at the close of business on May 15, 2026 and May 18, 2026, respectively. The June 2026 regular monthly base distribution was paid on June 30, 2026 to stockholders of record at the close of business on June 15, 2026.</w:t>
      </w:r>
    </w:p>
    <w:p>
      <w:pPr>
        <w:pStyle w:val="TextBody"/>
        <w:bidi w:val="0"/>
        <w:spacing w:before="240" w:after="283"/>
        <w:jc w:val="both"/>
        <w:rPr>
          <w:rFonts w:ascii="Times New Roman" w:hAnsi="Times New Roman"/>
          <w:sz w:val="16"/>
        </w:rPr>
      </w:pPr>
      <w:r>
        <w:rPr>
          <w:rFonts w:ascii="Times New Roman" w:hAnsi="Times New Roman"/>
          <w:b/>
          <w:color w:val="000000"/>
          <w:sz w:val="16"/>
        </w:rPr>
        <w:t>Stock Repurchase Program</w:t>
      </w:r>
      <w:r>
        <w:rPr>
          <w:rFonts w:ascii="Times New Roman" w:hAnsi="Times New Roman"/>
          <w:color w:val="000000"/>
          <w:sz w:val="16"/>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March 11, 2024, the Board authorized a renewed stock repurchase program of up to $10.0 million (the “2024 Stock Repurchase Program”) for an approximately one-year period, effective March 11, 2024 and terminating on March 31, 2025. Under this repurchase program, shares may be repurchased from time to time in open market transactions, in privately negotiated transactions or otherwise subject to any law or agreement to which we are party including any restrictions under the 1940 Act and in the indentures for our 2026 Notes, 2028 Notes, 2029 Notes, 2030 Notes and 2032 Convertible Notes. The terms and conditions of the 2024 Stock Repurchase Program are substantially similar to the prior stock repurchase program. The 2024 Stock Repurchase Program may be suspended or discontinued at any time. Subject to these restrictions, we will selectively pursue opportunities to repurchase shares which are accretive to net asset value per share. The timing and actual number of shares repurchased will depend on a variety of factors, including legal requirements, price, and economic and market conditions. On March 12, 2025, the Board authorized a renewed stock repurchase program of up to $10.0 million (the “2025 Stock Repurchase Program”) for an approximately one-year period, effective March 12, 2025 and terminating on March 31, 2026. The terms and conditions of the 2025 Stock Repurchase Program are substantially similar to the prior 2024 Stock Repurchase Program. The 2025 Stock Repurchase Program may be suspended or discontinued at any time. Subject to these restrictions, we will selectively pursue opportunities to repurchase shares which are accretive to net asset value per share. On March 4, 2026, the Board authorized a renewed stock repurchase program of up to $10.0 million (the “2026 Stock Repurchase Program”) for an approximately one-year period, effective March 4, 2026 and terminating on March 31, 2027. The terms and conditions of the 2026 Stock Repurchase Program are substantially similar to the prior 2025 Stock Repurchase Program. The 2026 Stock Repurchase Program may be suspended or discontinued at any time. Subject to these restrictions, we will selectively pursue opportunities to repurchase shares which are accretive to net asset value per share.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three months ended June 30, 2026, the Company did not repurchase shares under the 2026 Stock Repurchase Program. During the three months ended June 30, 2025, the Company did not repurchase shares under the 2024 Stock Repurchase Program or the 2025 Stock Repurchase Program. During the six months ended June 30, 2026, the Company repurchased 172,159 shares at an aggregate cost of approximately $2.1 million under the 2026 Stock Repurchase Program. During the six months ended June 30, 2025, the Company did not repurchase shares under the 2024 Stock Repurchase Program or the 2025 Stock Repurchase Program.</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OFF-BALANCE SHEET ARRANGEMENTS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From time-to-time 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consolidated statements of assets and liabilities. Prior to extending such credit, we attempt to limit our credit risk by conducting extensive due diligence, obtaining collateral where necessary and negotiating appropriate financial covenants. As of June 30, 2026, and December 31, 2025, we had approximately $27.3 million and $30.0 million in commitments to fund investments, respectively. We may also enter into derivative contracts with off-balance sheet risk in connection with our investing activities.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CONTRACTUAL OBLIGATIONS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following table summarizes our contractual cash obligations and other commercial commitments as of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02"/>
        <w:gridCol w:w="146"/>
        <w:gridCol w:w="196"/>
        <w:gridCol w:w="691"/>
        <w:gridCol w:w="146"/>
        <w:gridCol w:w="146"/>
        <w:gridCol w:w="198"/>
        <w:gridCol w:w="609"/>
        <w:gridCol w:w="146"/>
        <w:gridCol w:w="146"/>
        <w:gridCol w:w="196"/>
        <w:gridCol w:w="691"/>
        <w:gridCol w:w="146"/>
        <w:gridCol w:w="146"/>
        <w:gridCol w:w="212"/>
        <w:gridCol w:w="650"/>
        <w:gridCol w:w="146"/>
        <w:gridCol w:w="146"/>
        <w:gridCol w:w="236"/>
        <w:gridCol w:w="616"/>
        <w:gridCol w:w="194"/>
      </w:tblGrid>
      <w:tr>
        <w:trPr/>
        <w:tc>
          <w:tcPr>
            <w:tcW w:w="4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Contractual Obligations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two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2 - 3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4 - 5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Portman Ridge Funding LLC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Contractual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CRITICAL ACCOUNTING POLICIES AND ESTIMATES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“Significant Accounting Policies — Investments” to our consolidated financial statements included herein.</w:t>
      </w:r>
    </w:p>
    <w:p>
      <w:pPr>
        <w:pStyle w:val="TextBody"/>
        <w:bidi w:val="0"/>
        <w:spacing w:before="240" w:after="283"/>
        <w:jc w:val="both"/>
        <w:rPr>
          <w:rFonts w:ascii="Times New Roman" w:hAnsi="Times New Roman"/>
          <w:b/>
          <w:i/>
          <w:color w:val="000000"/>
          <w:sz w:val="16"/>
        </w:rPr>
      </w:pPr>
      <w:r>
        <w:rPr>
          <w:rFonts w:ascii="Times New Roman" w:hAnsi="Times New Roman"/>
          <w:b/>
          <w:i/>
          <w:color w:val="000000"/>
          <w:sz w:val="16"/>
        </w:rPr>
        <w:t>Valuation of Portfolio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most significant estimate inherent in the preparation of our consolidated financial statements is the valuation of investments and the related amounts of unrealized appreciation and depreciation of investments recorded.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Value, as defined in Section 2(a)(41) of 1940 Act, is (1) the market price for those securities for which a market quotation is readily available and (2) for all other securities and assets, fair value as determined in good faith by our Adviser pursuant to procedures approved by our Board. In December 2020, the SEC adopted Rule 2a-5 under the 1940 Act, which permits a BDC’s board of directors to designate its investment adviser as a valuation designee to determine the fair value for its investment portfolio, subject to the active oversight of the board. Our Board has designated our Adviser as its “valuation designee” pursuant to Rule 2a-5 under the 1940 Act, and in that role our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Our Board remains ultimately responsible for making fair value determinations under the 1940 Act and satisfies its responsibility through oversight of the valuation designee in accordance with Rule 2a-5.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Adviser determined values may differ significantly from the values that would have been used had a ready market existed for the investments, and the differences could be material.</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Pursuant to ASC 946, we reflect our investments on our consolidated statements of assets and liabilities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See Note 4 – “Investments” to the consolidated financial statements included herein for the additional information about the level of market observability associated with investments carried at fair value.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follow the provisions of ASC 820,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the FASB has issued various staff positions clarifying the initial standard (see Note 2 — “Significant Accounting Policies — Investments” to the consolidated financial statements included herein).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ASC 820 establishes the following three-level hierarchy, based upon the transparency of inputs to the fair value measurement of an asset or liability as of the measurement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Level I — Unadjusted quoted prices are available in active markets for identical investments as of the reporting date. The type of investments included in Level I include listed equities and listed securities. As required by ASC 820, we do not adjust the quoted price for these investments, even in situations where we hold a large position and a sale could reasonably affect the quoted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Level III — Pricing inputs are unobservable for the investment and includes situations where there is little, if any, market activity for the investment. The inputs may be based on our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we consider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we have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investments in our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carry investments in joint ventures at fair value based upon the fair value of the investments held by the joint venture.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our judgment.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Adviser may consider other methods of valuation to determine the fair value of investments as appropriate in conformity with U.S. GAAP.</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Interest Income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Interest income, including amortization of premium and accretion of discount and accrual of payment-in-kind (“PIK”) interest, is recorded on the accrual basis to the extent that such amounts are expected to be collected. We generally place a loan or security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June 30, 2026, eleven of our debt investments were on non-accrual status, which were attributable to seven portfolio companies. However, for two of the investments in the non-accrual population, the Company continues to recognize interest income on a cash basis (i.e., only when cash payments are actually received). Refer to the consolidated schedule of investments for further details.</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Investment Income on CLO Fund Securities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SOFR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U.S. 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GAAP statement of operations differs from both the tax-basis investment income and from the cash distributions actually received by us during the period. For U.S. tax purposes, these CLO equity investments are generally treated as PFICs. Taxable income is provided on a PFIC statement, where income and capital gains are determined based on the U.S. shareholder’s proportionate ownership of the PFIC.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non-junior class CLO Fund Securities interest is earned at a fixed spread relative to the SOFR index.</w:t>
      </w:r>
    </w:p>
    <w:p>
      <w:pPr>
        <w:pStyle w:val="TextBody"/>
        <w:bidi w:val="0"/>
        <w:spacing w:before="120" w:after="283"/>
        <w:jc w:val="left"/>
        <w:rPr>
          <w:rFonts w:ascii="Times New Roman" w:hAnsi="Times New Roman"/>
          <w:b/>
          <w:i/>
          <w:color w:val="000000"/>
          <w:sz w:val="16"/>
        </w:rPr>
      </w:pPr>
      <w:r>
        <w:rPr>
          <w:rFonts w:ascii="Times New Roman" w:hAnsi="Times New Roman"/>
          <w:b/>
          <w:i/>
          <w:color w:val="000000"/>
          <w:sz w:val="16"/>
        </w:rPr>
        <w:t>Payment in Kind Interest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may have loans in our portfolio that contain a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we have not yet collected any cash.</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Fees and Other Income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Origination fees (to the extent services are performed to earn such income upon closing), amendment fees, consent fees, and other fees associated with investments in portfolio companies are recognized as income when they are earned. Prepayment penalties received by the Company for debt instruments repaid prior to maturity date are recorded as income upon receipt.</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United States Federal Income Taxes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have elected to be treated as a RIC and intend to continue to qualify for the tax treatment applicable to RICs under Subchapter M of the Code and, among other things, intend to make the required distributions to our stockholders as specified therein. In order to qualify for tax treatment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Recent Developments</w:t>
      </w:r>
    </w:p>
    <w:p>
      <w:pPr>
        <w:pStyle w:val="TextBody"/>
        <w:bidi w:val="0"/>
        <w:spacing w:before="120" w:after="60"/>
        <w:jc w:val="both"/>
        <w:rPr>
          <w:rFonts w:ascii="Times New Roman" w:hAnsi="Times New Roman"/>
          <w:color w:val="000000"/>
          <w:sz w:val="16"/>
        </w:rPr>
      </w:pPr>
      <w:r>
        <w:rPr>
          <w:rFonts w:ascii="Times New Roman" w:hAnsi="Times New Roman"/>
          <w:color w:val="000000"/>
          <w:sz w:val="16"/>
        </w:rPr>
        <w:t>On July 31, 2026, the Company paid its regular monthly base distribution of $0.09 per share of common stock to stockholders of record as of July 15, 2026.</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On August 6, 2026, the Company declared a regular monthly base distribution of $0.09 per share of common stock for each of October, November and December 2026. The October 2026 distribution is payable on October 30, 2026 to stockholders of record at the close of business on October 15, 2026. The November 2026 distribution is payable on December 4, 2026 to stockholders of record at the close of business on November 23, 2026. The December 2026 distribution is payable on December 30, 2026 to stockholders of record at the close of business on December 15,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On August 6, 2026, the Company entered into a sixth amendment (the “Sixth Amendment”) to the KeyBank Credit Facility under its existing senior secured revolving credit agreement. The Sixth Amendment reduces the applicable margin during the reinvestment period from 2.80% per annum to 2.50% per annum and reduces the applicable margin during the amortization period from 3.20% per annum to 3.00% per annum. The Sixth Amendment also extends the termination date of the reinvestment period from August 21, 2027 to August 6, 2029, extends the maturity date from August 21, 2029 to August 6, 2031, increases the facility amount from $75.0 million to $150.0 million and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continues to provide an uncommitted accordion feature that permits the Company to increase the facility amount to up to $200.0 million. The Sixth Amendment also amends the borrowing base provisions to permit certain participation interests acquired in connection with the refinancing to be included as eligible collateral. Concurrent with the consummation of the Sixth Amendment, GLPRF LLC, a direct, wholly owned subsidiary of the Company, transferred certain portfolio investment assets to CBL, and proceeds of borrowings under the amended KeyBank Credit Facility were used to repay in full all outstanding advances and other amounts then due under the senior secured revolving credit facility of GLPRF LLC with JPMorgan Chase Bank, National Association. Following such repayment, the financing commitments under the Revolving Credit Facility were terminated and the related security interests were released.</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16"/>
        </w:rPr>
      </w:pPr>
      <w:bookmarkStart w:id="11" w:name="item_3_quantitative_qualitative_disclosu"/>
      <w:bookmarkEnd w:id="11"/>
      <w:r>
        <w:rPr>
          <w:rFonts w:ascii="Times New Roman" w:hAnsi="Times New Roman"/>
          <w:b/>
          <w:color w:val="000000"/>
          <w:sz w:val="16"/>
        </w:rPr>
        <w:t>Item 3. Quantitative and Qualitative Disclosures about Market Risk</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Interest Rate Risk</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Our investment income is affected by fluctuations in various interest rates, including SOFR and prime rates. As of June 30, 2026, approximately 87.8% of our Debt Securities Portfolio were either floating rate with a spread to an interest rate index such as SOFR or the prime rate. 93.4% of these floating rate loans contain floors ranging between 0.50% and 5.25%. We generally expect that future portfolio investments will predominately be floating rate investments. As of June 30, 2026, we had approximately $286.1 million (par value) of borrowings outstanding at a current weighted average interest rate of 7.0%, of which $172.0 million par value had a fixed rate and $114.1 million par value has a floating rate.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fixed rate borrowings would remain the same, while the interest rate on borrowings under the Revolving Credit Facility would fluctuate with changes in interest rates.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have analyzed the potential impact of changes in interest rates on interest income net of interest expense. Assuming that our consolidated statement of assets and liabilities as of June 30, 2026 was to remain constant and no actions were taken to alter the existing interest rate sensitivity, the table below illustrates the impact on net investment income on our Debt Securities Portfolio for various hypothetical increases in interest rates:</w:t>
      </w:r>
    </w:p>
    <w:p>
      <w:pPr>
        <w:pStyle w:val="TextBody"/>
        <w:bidi w:val="0"/>
        <w:jc w:val="both"/>
        <w:rPr/>
      </w:pPr>
      <w:r>
        <w:rPr/>
        <w:t> </w:t>
      </w:r>
    </w:p>
    <w:tbl>
      <w:tblPr>
        <w:tblW w:w="5038" w:type="dxa"/>
        <w:jc w:val="left"/>
        <w:tblInd w:w="0" w:type="dxa"/>
        <w:tblLayout w:type="fixed"/>
        <w:tblCellMar>
          <w:top w:w="28" w:type="dxa"/>
          <w:left w:w="28" w:type="dxa"/>
          <w:bottom w:w="28" w:type="dxa"/>
          <w:right w:w="28" w:type="dxa"/>
        </w:tblCellMar>
      </w:tblPr>
      <w:tblGrid>
        <w:gridCol w:w="1756"/>
        <w:gridCol w:w="146"/>
        <w:gridCol w:w="196"/>
        <w:gridCol w:w="571"/>
        <w:gridCol w:w="166"/>
        <w:gridCol w:w="146"/>
        <w:gridCol w:w="196"/>
        <w:gridCol w:w="571"/>
        <w:gridCol w:w="166"/>
        <w:gridCol w:w="146"/>
        <w:gridCol w:w="196"/>
        <w:gridCol w:w="571"/>
        <w:gridCol w:w="21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on net investment income from</w:t>
              <w:br/>
              <w:t>a change in interest rates at: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in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Decrease in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shown above, net investment income assuming a 1% increase in interest rates would increase by approximately $2.1 million on an annualized basis. If the increase in rates was more significant, such as 2% or 3%, the net effect on net investment income would be an increase of approximately $4.3 million and $6.4 million,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an annualized basis, a decrease in interest rates of 1% would result in a decrease in net investment income of approximately $2.1 million. A decrease in interest rates of 2% and 3% would result in a decrease in net investment income of approximately $3.8 million and $4.6 million, respectively. The effect on net investment income from declines in interest rates is impacted by interest rate floors on certain of our floating rate investments, as there is no floor on our floating rate debt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Although management believes that this measure is indicative of sensitivity to interest rate changes on our Debt Securities Portfolio, it does not adjust for potential changes in credit quality, size and composition of the assets on the consolidated statements of assets and liabilities and other business developments that could affect a net change in assets resulting from operations or net income. Accordingly, no assurances can be given that actual results would not materially differ from the potential outcome simulated by this estimate.</w:t>
      </w:r>
    </w:p>
    <w:p>
      <w:pPr>
        <w:pStyle w:val="TextBody"/>
        <w:bidi w:val="0"/>
        <w:spacing w:before="120" w:after="283"/>
        <w:jc w:val="both"/>
        <w:rPr>
          <w:rFonts w:ascii="Times New Roman" w:hAnsi="Times New Roman"/>
          <w:b/>
          <w:color w:val="000000"/>
          <w:sz w:val="16"/>
        </w:rPr>
      </w:pPr>
      <w:r>
        <w:rPr>
          <w:rFonts w:ascii="Times New Roman" w:hAnsi="Times New Roman"/>
          <w:b/>
          <w:color w:val="000000"/>
          <w:sz w:val="16"/>
        </w:rPr>
        <w:t>Portfolio Valuation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carry our investments at fair value, as determined in good faith by our Adviser pursuant to valuation procedures approved by our Board. Investments for which market quotations are generally readily available are generally valued at such market quotations. Investments for which there is not a readily available market value are valued at fair value as determined in good faith by our Adviser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Adviser has engaged an independent valuation firm to provide third party valuation consulting services. Each quarter, the independent valuation firm will perform third party valuations on the Company’s material investments in illiquid securities such that they are reviewed at least once during a trailing 12-month period. These third-party valuation estimates were considered as one of the relevant data inputs in the Adviser’s determination of fair value. The Adviser intends to continue to engage an independent valuation firm in the future to provide certain valuation services, including the review of certain portfolio assets, as part of the quarterly and annual year-end valuation process.</w:t>
      </w:r>
    </w:p>
    <w:p>
      <w:pPr>
        <w:pStyle w:val="TextBody"/>
        <w:bidi w:val="0"/>
        <w:spacing w:before="240" w:after="283"/>
        <w:jc w:val="both"/>
        <w:rPr>
          <w:rFonts w:ascii="Times New Roman" w:hAnsi="Times New Roman"/>
          <w:sz w:val="16"/>
        </w:rPr>
      </w:pPr>
      <w:bookmarkStart w:id="12" w:name="item_5_controls_procedures"/>
      <w:bookmarkEnd w:id="12"/>
      <w:r>
        <w:rPr>
          <w:rFonts w:ascii="Times New Roman" w:hAnsi="Times New Roman"/>
          <w:b/>
          <w:color w:val="000000"/>
          <w:sz w:val="16"/>
        </w:rPr>
        <w:t>Item 4. Controls</w:t>
      </w:r>
      <w:r>
        <w:rPr>
          <w:rFonts w:ascii="Times New Roman" w:hAnsi="Times New Roman"/>
          <w:color w:val="000000"/>
          <w:sz w:val="16"/>
        </w:rPr>
        <w:t xml:space="preserve"> </w:t>
      </w:r>
      <w:r>
        <w:rPr>
          <w:rFonts w:ascii="Times New Roman" w:hAnsi="Times New Roman"/>
          <w:b/>
          <w:color w:val="000000"/>
          <w:sz w:val="16"/>
        </w:rPr>
        <w:t>and Procedures</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Evaluation of Disclosure Controls and Procedures.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 is recorded, processed, summarized, and reported within the time periods specified in the SEC’s rules and forms, and that information required to be disclosed by us in the reports that we file or submit under the Exchange Act is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accumulated and communicated to our management, including our CEO and CFO, as appropriate to allow timely decisions regarding required disclosures as of the end of the period covered by this report.</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Changes in Internal Control Over Financial Reporting.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16"/>
        </w:rPr>
      </w:pPr>
      <w:bookmarkStart w:id="13" w:name="part_ii_or_information"/>
      <w:bookmarkEnd w:id="13"/>
      <w:r>
        <w:rPr>
          <w:rFonts w:ascii="Times New Roman" w:hAnsi="Times New Roman"/>
          <w:b/>
          <w:color w:val="000000"/>
          <w:sz w:val="20"/>
        </w:rPr>
        <w:t>PART II. Other Information</w:t>
      </w:r>
      <w:r>
        <w:rPr>
          <w:rFonts w:ascii="Times New Roman" w:hAnsi="Times New Roman"/>
          <w:color w:val="000000"/>
          <w:sz w:val="16"/>
        </w:rPr>
        <w:t xml:space="preserve"> </w:t>
      </w:r>
    </w:p>
    <w:p>
      <w:pPr>
        <w:pStyle w:val="TextBody"/>
        <w:bidi w:val="0"/>
        <w:spacing w:before="200" w:after="283"/>
        <w:jc w:val="both"/>
        <w:rPr>
          <w:rFonts w:ascii="Times New Roman" w:hAnsi="Times New Roman"/>
          <w:sz w:val="16"/>
        </w:rPr>
      </w:pPr>
      <w:bookmarkStart w:id="14" w:name="item_1_legal_proceedings"/>
      <w:bookmarkEnd w:id="14"/>
      <w:r>
        <w:rPr>
          <w:rFonts w:ascii="Times New Roman" w:hAnsi="Times New Roman"/>
          <w:b/>
          <w:color w:val="000000"/>
          <w:sz w:val="16"/>
        </w:rPr>
        <w:t>Item 1.</w:t>
      </w:r>
      <w:r>
        <w:rPr>
          <w:rFonts w:ascii="Times New Roman" w:hAnsi="Times New Roman"/>
          <w:color w:val="000000"/>
          <w:sz w:val="16"/>
        </w:rPr>
        <w:t xml:space="preserve"> </w:t>
      </w:r>
      <w:r>
        <w:rPr>
          <w:rFonts w:ascii="Times New Roman" w:hAnsi="Times New Roman"/>
          <w:b/>
          <w:color w:val="000000"/>
          <w:sz w:val="16"/>
        </w:rPr>
        <w:t>Legal</w:t>
      </w:r>
      <w:r>
        <w:rPr>
          <w:rFonts w:ascii="Times New Roman" w:hAnsi="Times New Roman"/>
          <w:color w:val="000000"/>
          <w:sz w:val="16"/>
        </w:rPr>
        <w:t xml:space="preserve"> </w:t>
      </w:r>
      <w:r>
        <w:rPr>
          <w:rFonts w:ascii="Times New Roman" w:hAnsi="Times New Roman"/>
          <w:b/>
          <w:color w:val="000000"/>
          <w:sz w:val="16"/>
        </w:rPr>
        <w:t>Proceedings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is not currently a party to any material legal proceedings.</w:t>
      </w:r>
    </w:p>
    <w:p>
      <w:pPr>
        <w:pStyle w:val="TextBody"/>
        <w:bidi w:val="0"/>
        <w:spacing w:before="240" w:after="283"/>
        <w:jc w:val="both"/>
        <w:rPr>
          <w:rFonts w:ascii="Times New Roman" w:hAnsi="Times New Roman"/>
          <w:b/>
          <w:color w:val="000000"/>
          <w:sz w:val="16"/>
        </w:rPr>
      </w:pPr>
      <w:bookmarkStart w:id="15" w:name="item_1a_risk_factors"/>
      <w:bookmarkEnd w:id="15"/>
      <w:r>
        <w:rPr>
          <w:rFonts w:ascii="Times New Roman" w:hAnsi="Times New Roman"/>
          <w:b/>
          <w:color w:val="000000"/>
          <w:sz w:val="16"/>
        </w:rPr>
        <w:t>Item 1A. Risk Factors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There have been no material changes during the quarter ended June 30, 2026 to the risk factors that were included in our Annual Report on Form 10-K for the year ended December 31, 2025. </w:t>
      </w:r>
    </w:p>
    <w:p>
      <w:pPr>
        <w:pStyle w:val="TextBody"/>
        <w:bidi w:val="0"/>
        <w:spacing w:before="120" w:after="283"/>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16"/>
        </w:rPr>
      </w:pPr>
      <w:bookmarkStart w:id="16" w:name="item_2_unregistered_sales_equity_securit"/>
      <w:bookmarkEnd w:id="16"/>
      <w:r>
        <w:rPr>
          <w:rFonts w:ascii="Times New Roman" w:hAnsi="Times New Roman"/>
          <w:b/>
          <w:color w:val="000000"/>
          <w:sz w:val="16"/>
        </w:rPr>
        <w:t>Item 2. Unregistered Sales of Equity Securities and Use of Proceeds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Other than the shares issued pursuant to our dividend reinvestment plan (“DRIP”), we did not engage in any sales of unregistered securities during the three and six months ended June 30, 2026, except as previously reported by us on our current reports on Form 8-K. We issued a total of 5,955 and 12,043 shares of common stock under our dividend reinvestment plan (“DRIP”) during the three and six months ended June 30, 2026, respectively. This issuance was not subject to the registration requirements of the Securities Act. For the three and six months ended June 30, 2026, the aggregate value of the shares of our common stock issued under our DRIP was approximately less than $0.1 million and $0.1 million,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following table sets forth information regarding recent repurchases of shares of our common stock. </w:t>
      </w:r>
    </w:p>
    <w:tbl>
      <w:tblPr>
        <w:tblW w:w="10205" w:type="dxa"/>
        <w:jc w:val="left"/>
        <w:tblInd w:w="0" w:type="dxa"/>
        <w:tblLayout w:type="fixed"/>
        <w:tblCellMar>
          <w:top w:w="28" w:type="dxa"/>
          <w:left w:w="28" w:type="dxa"/>
          <w:bottom w:w="28" w:type="dxa"/>
          <w:right w:w="28" w:type="dxa"/>
        </w:tblCellMar>
      </w:tblPr>
      <w:tblGrid>
        <w:gridCol w:w="1525"/>
        <w:gridCol w:w="243"/>
        <w:gridCol w:w="1157"/>
        <w:gridCol w:w="146"/>
        <w:gridCol w:w="234"/>
        <w:gridCol w:w="614"/>
        <w:gridCol w:w="146"/>
        <w:gridCol w:w="450"/>
        <w:gridCol w:w="2146"/>
        <w:gridCol w:w="146"/>
        <w:gridCol w:w="886"/>
        <w:gridCol w:w="2317"/>
        <w:gridCol w:w="195"/>
      </w:tblGrid>
      <w:tr>
        <w:trPr/>
        <w:tc>
          <w:tcPr>
            <w:tcW w:w="15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 Purchased as Part of Publicly Announced Plans or Programs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Approximate Dollar Value of Shares that May Yet Be Purchased Under the Program (Dollars in Thousands)</w:t>
            </w:r>
            <w:r>
              <w:rPr>
                <w:rFonts w:ascii="Times New Roman" w:hAnsi="Times New Roman"/>
                <w:b/>
                <w:color w:val="000000"/>
                <w:sz w:val="11"/>
              </w:rPr>
              <w:t>(1)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2026 through January 31, 2026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2026 through February 28, 2026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1, 2026 through March 31, 2026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2026 through April 30, 2026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1, 2026 through May 31, 2026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1, 2026 through June 30, 2026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2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172,159</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8"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172,159</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203"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both"/>
        <w:rPr>
          <w:rFonts w:ascii="Times New Roman" w:hAnsi="Times New Roman"/>
          <w:color w:val="000000"/>
          <w:sz w:val="14"/>
        </w:rPr>
      </w:pPr>
      <w:r>
        <w:rPr>
          <w:rFonts w:ascii="Times New Roman" w:hAnsi="Times New Roman"/>
          <w:color w:val="000000"/>
          <w:sz w:val="14"/>
        </w:rPr>
        <w:t>On March 12, 2025, the Board authorized a renewed stock repurchase program of up to $10.0 million (the “2025 Stock Repurchase Program”) for an approximately one-year period, effective March 12, 2025 and terminating on March 31, 2026. Under this repurchase program, shares may be repurchased from time to time in open market transactions, in privately negotiated transactions or otherwise subject to any law or agreement to which we are party including any restrictions under the 1940 Act and in the indentures for our 2026 Notes, 2028 Notes, 2029 Notes, 2030 Notes and 2032 Convertible Notes. The terms and conditions of the 2025 Stock Repurchase Program are substantially similar to the prior 2024 Stock Repurchase Program. The 2025 Stock Repurchase Program may be suspended or discontinued at any time. Subject to these restrictions, we will selectively pursue opportunities to repurchase shares which are accretive to net asset value per share. On March 4, 2026, the Board authorized a renewed stock repurchase program of up to $10.0 million (the “2026 Stock Repurchase Program”) for an approximately one-year period, effective March 4, 2026 and terminating on March 31, 2027. The terms and conditions of the 2026 Stock Repurchase Program are substantially similar to the prior 2025 Stock Repurchase Program. The 2026 Stock Repurchase Program may be suspended or discontinued at any time. Subject to these restrictions, we will selectively pursue opportunities to repurchase shares which are accretive to net asset value per share.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permitted by our policies and procedures governing transactions in our securities by our directors, executive officers and other employees, from time to time some of these persons may establish plans or arrangements complying with Rule 10b5-1 under the Exchange Act, and similar plans and arrangements relating to our common stock.</w:t>
      </w:r>
    </w:p>
    <w:p>
      <w:pPr>
        <w:pStyle w:val="TextBody"/>
        <w:bidi w:val="0"/>
        <w:spacing w:before="240" w:after="283"/>
        <w:jc w:val="both"/>
        <w:rPr>
          <w:rFonts w:ascii="Times New Roman" w:hAnsi="Times New Roman"/>
          <w:b/>
          <w:color w:val="000000"/>
          <w:sz w:val="16"/>
        </w:rPr>
      </w:pPr>
      <w:bookmarkStart w:id="17" w:name="item_3_defaults_upon_senior_securities"/>
      <w:bookmarkEnd w:id="17"/>
      <w:r>
        <w:rPr>
          <w:rFonts w:ascii="Times New Roman" w:hAnsi="Times New Roman"/>
          <w:b/>
          <w:color w:val="000000"/>
          <w:sz w:val="16"/>
        </w:rPr>
        <w:t>Item 3. Defaults Upon Senior Securities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None.</w:t>
      </w:r>
    </w:p>
    <w:p>
      <w:pPr>
        <w:pStyle w:val="TextBody"/>
        <w:bidi w:val="0"/>
        <w:spacing w:before="240" w:after="283"/>
        <w:jc w:val="both"/>
        <w:rPr>
          <w:rFonts w:ascii="Times New Roman" w:hAnsi="Times New Roman"/>
          <w:b/>
          <w:color w:val="000000"/>
          <w:sz w:val="16"/>
        </w:rPr>
      </w:pPr>
      <w:bookmarkStart w:id="18" w:name="item_4_mine_safety_disclosures"/>
      <w:bookmarkEnd w:id="18"/>
      <w:r>
        <w:rPr>
          <w:rFonts w:ascii="Times New Roman" w:hAnsi="Times New Roman"/>
          <w:b/>
          <w:color w:val="000000"/>
          <w:sz w:val="16"/>
        </w:rPr>
        <w:t>Item 4. Mine Safety Disclosures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Not Applicable.</w:t>
      </w:r>
    </w:p>
    <w:p>
      <w:pPr>
        <w:pStyle w:val="TextBody"/>
        <w:bidi w:val="0"/>
        <w:spacing w:before="240" w:after="283"/>
        <w:jc w:val="both"/>
        <w:rPr>
          <w:rFonts w:ascii="Times New Roman" w:hAnsi="Times New Roman"/>
          <w:sz w:val="16"/>
        </w:rPr>
      </w:pPr>
      <w:bookmarkStart w:id="19" w:name="item_5_or_information"/>
      <w:bookmarkEnd w:id="19"/>
      <w:r>
        <w:rPr>
          <w:rFonts w:ascii="Times New Roman" w:hAnsi="Times New Roman"/>
          <w:b/>
          <w:color w:val="000000"/>
          <w:sz w:val="16"/>
        </w:rPr>
        <w:t>Item 5. Other</w:t>
      </w:r>
      <w:r>
        <w:rPr>
          <w:rFonts w:ascii="Times New Roman" w:hAnsi="Times New Roman"/>
          <w:color w:val="000000"/>
          <w:sz w:val="16"/>
        </w:rPr>
        <w:t xml:space="preserve"> </w:t>
      </w:r>
      <w:r>
        <w:rPr>
          <w:rFonts w:ascii="Times New Roman" w:hAnsi="Times New Roman"/>
          <w:b/>
          <w:color w:val="000000"/>
          <w:sz w:val="16"/>
        </w:rPr>
        <w:t>Information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During the three months ended June 30, 2026, no director or officer of the Company adopted or terminated a “Rule 10b5-1 trading arrangement” or “non-Rule 10b5-1 trading arrangement,” as each term is defined in Item 408(a) of Regulation S-K. </w:t>
      </w:r>
    </w:p>
    <w:p>
      <w:pPr>
        <w:pStyle w:val="TextBody"/>
        <w:bidi w:val="0"/>
        <w:spacing w:before="240" w:after="283"/>
        <w:jc w:val="both"/>
        <w:rPr>
          <w:rFonts w:ascii="Times New Roman" w:hAnsi="Times New Roman"/>
          <w:b/>
          <w:color w:val="000000"/>
          <w:sz w:val="16"/>
        </w:rPr>
      </w:pPr>
      <w:bookmarkStart w:id="20" w:name="item_6_exhibits"/>
      <w:bookmarkEnd w:id="20"/>
      <w:r>
        <w:rPr>
          <w:rFonts w:ascii="Times New Roman" w:hAnsi="Times New Roman"/>
          <w:b/>
          <w:color w:val="000000"/>
          <w:sz w:val="16"/>
        </w:rPr>
        <w:t>Item 6. Exhibits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Reference is made to the Exhibit List filed as a part of this report. Each of such exhibits is incorporated by reference herein.</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16"/>
        </w:rPr>
      </w:pPr>
      <w:bookmarkStart w:id="21" w:name="exhibit_index"/>
      <w:bookmarkEnd w:id="21"/>
      <w:r>
        <w:rPr>
          <w:rFonts w:ascii="Times New Roman" w:hAnsi="Times New Roman"/>
          <w:b/>
          <w:color w:val="000000"/>
          <w:sz w:val="16"/>
        </w:rPr>
        <w:t>Exhibit</w:t>
      </w:r>
      <w:r>
        <w:rPr>
          <w:rFonts w:ascii="Times New Roman" w:hAnsi="Times New Roman"/>
          <w:color w:val="000000"/>
          <w:sz w:val="16"/>
        </w:rPr>
        <w:t xml:space="preserve"> </w:t>
      </w:r>
      <w:r>
        <w:rPr>
          <w:rFonts w:ascii="Times New Roman" w:hAnsi="Times New Roman"/>
          <w:b/>
          <w:color w:val="000000"/>
          <w:sz w:val="16"/>
        </w:rPr>
        <w:t>Index</w:t>
      </w:r>
      <w:r>
        <w:rPr>
          <w:rFonts w:ascii="Times New Roman" w:hAnsi="Times New Roman"/>
          <w:color w:val="000000"/>
          <w:sz w:val="16"/>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8"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6"/>
                  <w:u w:val="single"/>
                </w:rPr>
                <w:t>3.1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16"/>
                  <w:u w:val="single"/>
                </w:rPr>
                <w:t>Form of Certificate of Incorporation of Company (incorporated by reference to the Exhibit A included in Pre-Effective Amendment No. 1 on Form N-2, as filed on October 6, 2006 ).</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6"/>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16"/>
                  <w:u w:val="single"/>
                </w:rPr>
                <w:t>Certificate of Amendment to Certificate of Incorporation of BCP Investment Corporation (incorporated by reference to Exhibit 3.1 of the Current Report on Form 8-K, as filed on April 2, 2019).</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6"/>
                  <w:u w:val="single"/>
                </w:rPr>
                <w:t>3.1.2</w:t>
              </w:r>
            </w:hyperlink>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16"/>
                  <w:u w:val="single"/>
                </w:rPr>
                <w:t>Certificate of Amendment to Certificate of Incorporation of BCP Investment Corporation (the Reverse Stock Split Certificate of Amendment) (incorporated by reference to Exhibit 3.1 of the Current Report on Form 8-K filed on August 26, 2021).</w:t>
              </w:r>
            </w:hyperlink>
            <w:hyperlink r:id="rId8">
              <w:r>
                <w:rPr>
                  <w:rStyle w:val="InternetLink"/>
                  <w:rFonts w:ascii="Times New Roman" w:hAnsi="Times New Roman"/>
                  <w:color w:val="0000FF"/>
                  <w:sz w:val="16"/>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6"/>
                  <w:u w:val="single"/>
                </w:rPr>
                <w:t>3.1.3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16"/>
                  <w:u w:val="single"/>
                </w:rPr>
                <w:t>Certificate of Amendment to Certificate of Incorporation of BCP Investment Corporation (the Decrease Shares Certificate of Amendment) (incorporated by reference to Exhibit 3.2 of the Current Report on Form 8-K filed on August 26, 2021).</w:t>
              </w:r>
            </w:hyperlink>
            <w:hyperlink r:id="rId11">
              <w:r>
                <w:rPr>
                  <w:rStyle w:val="InternetLink"/>
                  <w:rFonts w:ascii="Times New Roman" w:hAnsi="Times New Roman"/>
                  <w:color w:val="0000FF"/>
                  <w:sz w:val="16"/>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16"/>
                  <w:u w:val="single"/>
                </w:rPr>
                <w:t>3.1.4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000FF"/>
                  <w:sz w:val="16"/>
                  <w:u w:val="single"/>
                </w:rPr>
                <w:t>Certificate of Amendment to Certificate of Incorporation of the Company (incorporated by reference to Exhibit 3.1 of the Current Report on Form 8-K filed on August 21,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16"/>
                  <w:u w:val="single"/>
                </w:rPr>
                <w:t>3.2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000FF"/>
                  <w:sz w:val="16"/>
                  <w:u w:val="single"/>
                </w:rPr>
                <w:t>Fourth Amended and Restated Bylaws of BCP Investment Corporation, dated as of November 5, 2025 (incorporated by reference to Exhibit 3.2 of the Quarterly Report on Form 10-Q filed on November 6,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6"/>
                  <w:u w:val="single"/>
                </w:rPr>
                <w:t>4.1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FF"/>
                  <w:sz w:val="16"/>
                  <w:u w:val="single"/>
                </w:rPr>
                <w:t>Fourth Supplemental Indenture, dated as of October 15, 2025, relating to the 7.50% Notes due 2028, by and between the Company and U.S. Bank Trust Company, National Association, as trustee (incorporated by reference to Exhibit 4.1 of the Current Report on Form 8-K filed on October 15,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16"/>
                  <w:u w:val="single"/>
                </w:rPr>
                <w:t>4.2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Times New Roman" w:hAnsi="Times New Roman"/>
                  <w:color w:val="0000FF"/>
                  <w:sz w:val="16"/>
                  <w:u w:val="single"/>
                </w:rPr>
                <w:t>Fifth Supplemental Indenture, dated as of October 15, 2025, relating to the 7.75% Notes due 2030, by and between the Company and U.S. Bank Trust Company, National Association, as trustee (incorporated by reference to Exhibit 4.2 of the Current Report on Form 8-K filed on October 15,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6"/>
                  <w:u w:val="single"/>
                </w:rPr>
                <w:t>4.3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21">
              <w:r>
                <w:rPr>
                  <w:rStyle w:val="InternetLink"/>
                  <w:rFonts w:ascii="Times New Roman" w:hAnsi="Times New Roman"/>
                  <w:color w:val="0000FF"/>
                  <w:sz w:val="16"/>
                  <w:u w:val="single"/>
                </w:rPr>
                <w:t>Form of 7.50% Notes due 2028 (incorporated by reference to Exhibit 4.3 of the Current Report on Form 8-K filed on October 15,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16"/>
                  <w:u w:val="single"/>
                </w:rPr>
                <w:t>4.4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23">
              <w:r>
                <w:rPr>
                  <w:rStyle w:val="InternetLink"/>
                  <w:rFonts w:ascii="Times New Roman" w:hAnsi="Times New Roman"/>
                  <w:color w:val="0000FF"/>
                  <w:sz w:val="16"/>
                  <w:u w:val="single"/>
                </w:rPr>
                <w:t>Form of 7.75% Notes due 2030 (incorporated by reference to Exhibit 4.4 of the Current Report on Form 8-K filed on October 15,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16"/>
                  <w:u w:val="single"/>
                </w:rPr>
                <w:t>4.5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25">
              <w:r>
                <w:rPr>
                  <w:rStyle w:val="InternetLink"/>
                  <w:rFonts w:ascii="Times New Roman" w:hAnsi="Times New Roman"/>
                  <w:color w:val="0000FF"/>
                  <w:sz w:val="16"/>
                  <w:u w:val="single"/>
                </w:rPr>
                <w:t>Form of 7.50% Notes due 2029 (incorporated by reference to Exhibit 4.2 of the Current Report on Form 8-K filed on March 24, 2026).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16"/>
                  <w:u w:val="single"/>
                </w:rPr>
                <w:t>4.6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Times New Roman" w:hAnsi="Times New Roman"/>
                  <w:color w:val="0000FF"/>
                  <w:sz w:val="16"/>
                  <w:u w:val="single"/>
                </w:rPr>
                <w:t>Fourth Supplemental Indenture, dated as of October 29, 2021, relating to the 5.25% Notes due 2026, by and between the LRFC and U.S. Bank Trust Company, National Association, as trustee (incorporated by reference to Exhibit 4.1 of LRFC’s Current Report on Form 8-K filed on November 1, 2021).</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16"/>
                  <w:u w:val="single"/>
                </w:rPr>
                <w:t>4.7</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29">
              <w:r>
                <w:rPr>
                  <w:rStyle w:val="InternetLink"/>
                  <w:rFonts w:ascii="Times New Roman" w:hAnsi="Times New Roman"/>
                  <w:color w:val="0000FF"/>
                  <w:sz w:val="16"/>
                  <w:u w:val="single"/>
                </w:rPr>
                <w:t>Fifth Supplemental Indenture, dated as of July 15, 2025, relating to the 5.25% Notes due 2026, by and between the Company, as successor to LRFC, and U.S. Bank Trust Company, National Association, as trustee (incorporated by reference to Exhibit 4.6 of the Company’s Quarterly Report on Form 10-Q, filed on November 6,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16"/>
                  <w:u w:val="single"/>
                </w:rPr>
                <w:t>4.8</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31">
              <w:r>
                <w:rPr>
                  <w:rStyle w:val="InternetLink"/>
                  <w:rFonts w:ascii="Times New Roman" w:hAnsi="Times New Roman"/>
                  <w:color w:val="0000FF"/>
                  <w:sz w:val="16"/>
                  <w:u w:val="single"/>
                </w:rPr>
                <w:t>Sixth Supplemental Indenture, dated as of March 24, 2026, relating to the 7.50% Notes due 2029, by and between the Company and U.S. Bank Trust Company, National Association, as trustee (incorporated by reference to Exhibit 4.1 of the Current Report on Form 8-K filed on March 24, 2026).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16"/>
                  <w:u w:val="single"/>
                </w:rPr>
                <w:t>10.1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33">
              <w:r>
                <w:rPr>
                  <w:rStyle w:val="InternetLink"/>
                  <w:rFonts w:ascii="Times New Roman" w:hAnsi="Times New Roman"/>
                  <w:color w:val="0000FF"/>
                  <w:sz w:val="16"/>
                  <w:u w:val="single"/>
                </w:rPr>
                <w:t>Note Purchase Agreement, dated October 10, 2025 (incorporated by reference to Exhibit 10.1 of the Current Report on Form 8-K filed on October 15,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16"/>
                  <w:u w:val="single"/>
                </w:rPr>
                <w:t>10.2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16"/>
                  <w:u w:val="single"/>
                </w:rPr>
                <w:t>Loan and Security Agreement Conformed Through the Third Amendment dated as of March 9, 2026 among Great Lakes Portman Ridge Funding LLC, The Lenders Party Hereto, The Collateral Administrator, Collateral Agent and Securities Intermediary Party Hereto, JPMorgan Chase Bank, National Association, as Administrative Agent and BCP Investment Corporation, as Portfolio Manager (incorporated by reference to Exhibit 10.1 of the Current Report on Form 8-K filed on March 12, 2026).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16"/>
                  <w:u w:val="single"/>
                </w:rPr>
                <w:t>10.3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16"/>
                  <w:u w:val="single"/>
                </w:rPr>
                <w:t>Note Purchase Agreement, dated March 20, 2026 (incorporated by reference to Exhibit 10.1 of the Current Report on Form 8-K filed on March 24, 2026).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16"/>
                  <w:u w:val="single"/>
                </w:rPr>
                <w:t>10.4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16"/>
                  <w:u w:val="single"/>
                </w:rPr>
                <w:t>Fourth Amendment to Revolving Credit and Security Agreement, dated as of August 21, 2024, among Capitala Business Lending, LLC, as the borrower, Mount Logan Management, LLC, as the collateral manager, the lenders from to time to time party thereto, KeyBank National Association, as the administrative agent, and U.S. Bank National Association, as the custodian (with conformed agreement attached thereto)(incorporated by reference to Exhibit 10.1 to Logan Ridge Finance Corporation’s report on Form 8-K filed on August 22, 2024).</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16"/>
                  <w:u w:val="single"/>
                </w:rPr>
                <w:t>10.5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16"/>
                  <w:u w:val="single"/>
                </w:rPr>
                <w:t>Fifth Amendment to Revolving Credit and Security Agreement, dated as of July 14, 2025, among Capitala Business Lending, LLC, as the borrower, Mount Logan Management, LLC, as the collateral manager, the lenders from to time to time party thereto, KeyBank National Association, as the administrative agent, and U.S. Bank National Association, as the custodian (incorporated by reference to Exhibit 4.2 to the Company’s current report on Form 8-K filed on July 16,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w:anchor="bcic-ex31_1.htm">
              <w:r>
                <w:rPr>
                  <w:rStyle w:val="InternetLink"/>
                  <w:rFonts w:ascii="Times New Roman" w:hAnsi="Times New Roman"/>
                  <w:color w:val="0000FF"/>
                  <w:sz w:val="16"/>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w:anchor="bcic-ex31_1.htm">
              <w:r>
                <w:rPr>
                  <w:rStyle w:val="InternetLink"/>
                  <w:rFonts w:ascii="Times New Roman" w:hAnsi="Times New Roman"/>
                  <w:color w:val="0000FF"/>
                  <w:sz w:val="16"/>
                  <w:u w:val="single"/>
                </w:rPr>
                <w:t>Certification of Chief Executive Officer Pursuant to Rule 13a-14(a) under the Securities Exchange Act of 1934, as adopted pursuant to Section 302 of the Sarbanes-Oxley Act of 2002.</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w:anchor="bcic-ex31_2.htm">
              <w:r>
                <w:rPr>
                  <w:rStyle w:val="InternetLink"/>
                  <w:rFonts w:ascii="Times New Roman" w:hAnsi="Times New Roman"/>
                  <w:color w:val="0000FF"/>
                  <w:sz w:val="16"/>
                  <w:u w:val="single"/>
                </w:rPr>
                <w:t>31.2*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both"/>
              <w:rPr/>
            </w:pPr>
            <w:hyperlink w:anchor="bcic-ex31_2.htm">
              <w:r>
                <w:rPr>
                  <w:rStyle w:val="InternetLink"/>
                  <w:rFonts w:ascii="Times New Roman" w:hAnsi="Times New Roman"/>
                  <w:color w:val="0000FF"/>
                  <w:sz w:val="16"/>
                  <w:u w:val="single"/>
                </w:rPr>
                <w:t>Certification of Chief Financial Officer Pursuant to Rule 13a-14(a) under the Securities Exchange Act of 1934, as adopted pursuant to Section 302 of the Sarbanes-Oxley Act of 2002.</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w:anchor="bcic-ex32_1.htm">
              <w:r>
                <w:rPr>
                  <w:rStyle w:val="InternetLink"/>
                  <w:rFonts w:ascii="Times New Roman" w:hAnsi="Times New Roman"/>
                  <w:color w:val="0000FF"/>
                  <w:sz w:val="16"/>
                  <w:u w:val="single"/>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both"/>
              <w:rPr/>
            </w:pPr>
            <w:hyperlink w:anchor="bcic-ex32_1.htm">
              <w:r>
                <w:rPr>
                  <w:rStyle w:val="InternetLink"/>
                  <w:rFonts w:ascii="Times New Roman" w:hAnsi="Times New Roman"/>
                  <w:color w:val="0000FF"/>
                  <w:sz w:val="16"/>
                  <w:u w:val="single"/>
                </w:rPr>
                <w:t>Certification of Chief Executive Officer Pursuant to 18 U. S. C. 1350, as adopted pursuant to Section 906 of the Sarbanes-Oxley Act of 2002.</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hyperlink w:anchor="bcic-ex32_2.htm">
              <w:r>
                <w:rPr>
                  <w:rStyle w:val="InternetLink"/>
                  <w:rFonts w:ascii="Times New Roman" w:hAnsi="Times New Roman"/>
                  <w:color w:val="0000FF"/>
                  <w:sz w:val="16"/>
                  <w:u w:val="single"/>
                </w:rPr>
                <w:t>32.2*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both"/>
              <w:rPr/>
            </w:pPr>
            <w:hyperlink w:anchor="bcic-ex32_2.htm">
              <w:r>
                <w:rPr>
                  <w:rStyle w:val="InternetLink"/>
                  <w:rFonts w:ascii="Times New Roman" w:hAnsi="Times New Roman"/>
                  <w:color w:val="0000FF"/>
                  <w:sz w:val="16"/>
                  <w:u w:val="single"/>
                </w:rPr>
                <w:t>Certification of Chief Financial Officer Pursuant to 18 U. S. C. 1350, as adopted pursuant to Section 906 of the Sarbanes-Oxley Act of 2002.</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6"/>
              </w:rPr>
            </w:pPr>
            <w:r>
              <w:rPr>
                <w:rFonts w:ascii="Times New Roman" w:hAnsi="Times New Roman"/>
                <w:color w:val="000000"/>
                <w:sz w:val="16"/>
              </w:rPr>
              <w:t>101.INS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6"/>
              </w:rPr>
            </w:pPr>
            <w:r>
              <w:rPr>
                <w:rFonts w:ascii="Times New Roman" w:hAnsi="Times New Roman"/>
                <w:color w:val="000000"/>
                <w:sz w:val="16"/>
              </w:rPr>
              <w:t>Inline XBRL Instance Document (filed herewith)</w:t>
            </w:r>
          </w:p>
        </w:tc>
      </w:tr>
      <w:tr>
        <w:trPr/>
        <w:tc>
          <w:tcPr>
            <w:tcW w:w="7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70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858" w:type="dxa"/>
        <w:jc w:val="left"/>
        <w:tblInd w:w="0" w:type="dxa"/>
        <w:tblLayout w:type="fixed"/>
        <w:tblCellMar>
          <w:top w:w="28" w:type="dxa"/>
          <w:left w:w="28" w:type="dxa"/>
          <w:bottom w:w="28" w:type="dxa"/>
          <w:right w:w="28" w:type="dxa"/>
        </w:tblCellMar>
      </w:tblPr>
      <w:tblGrid>
        <w:gridCol w:w="751"/>
        <w:gridCol w:w="146"/>
        <w:gridCol w:w="696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6"/>
              </w:rPr>
            </w:pPr>
            <w:r>
              <w:rPr>
                <w:rFonts w:ascii="Times New Roman" w:hAnsi="Times New Roman"/>
                <w:color w:val="000000"/>
                <w:sz w:val="16"/>
              </w:rPr>
              <w:t>101.SCH</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61"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6"/>
              </w:rPr>
            </w:pPr>
            <w:r>
              <w:rPr>
                <w:rFonts w:ascii="Times New Roman" w:hAnsi="Times New Roman"/>
                <w:color w:val="000000"/>
                <w:sz w:val="16"/>
              </w:rPr>
              <w:t>Inline XBRL Taxonomy Extension Schema With Embedded Linkbase Documents (filed herewith)</w:t>
            </w:r>
          </w:p>
        </w:tc>
      </w:tr>
      <w:tr>
        <w:trPr/>
        <w:tc>
          <w:tcPr>
            <w:tcW w:w="751"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6"/>
              </w:rPr>
            </w:pPr>
            <w:r>
              <w:rPr>
                <w:rFonts w:ascii="Times New Roman" w:hAnsi="Times New Roman"/>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61"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6"/>
              </w:rPr>
            </w:pPr>
            <w:r>
              <w:rPr>
                <w:rFonts w:ascii="Times New Roman" w:hAnsi="Times New Roman"/>
                <w:color w:val="000000"/>
                <w:sz w:val="16"/>
              </w:rPr>
              <w:t>Cover Page Interactive Data File (embedded within the Inline XBRL document) (filed herewith)</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 Submitted herewith.</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16"/>
        </w:rPr>
      </w:pPr>
      <w:bookmarkStart w:id="22" w:name="signatures"/>
      <w:bookmarkEnd w:id="22"/>
      <w:r>
        <w:rPr>
          <w:rFonts w:ascii="Times New Roman" w:hAnsi="Times New Roman"/>
          <w:b/>
          <w:color w:val="000000"/>
          <w:sz w:val="16"/>
        </w:rPr>
        <w:t>SIGNATURES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1606"/>
        <w:gridCol w:w="301"/>
        <w:gridCol w:w="109"/>
        <w:gridCol w:w="2731"/>
      </w:tblGrid>
      <w:tr>
        <w:trPr/>
        <w:tc>
          <w:tcPr>
            <w:tcW w:w="16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BCP INVESTMENT CORPORATION</w:t>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Date: August 6, 2026</w:t>
            </w:r>
          </w:p>
        </w:tc>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 Edward Goldthorpe</w:t>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Edward Goldthorpe</w:t>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President and Chief Executive Officer</w:t>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Executive Officer)</w:t>
            </w:r>
          </w:p>
        </w:tc>
      </w:tr>
    </w:tbl>
    <w:p>
      <w:pPr>
        <w:pStyle w:val="TextBody"/>
        <w:bidi w:val="0"/>
        <w:jc w:val="left"/>
        <w:rPr/>
      </w:pPr>
      <w:r>
        <w:rPr/>
        <w:t> </w:t>
      </w:r>
    </w:p>
    <w:tbl>
      <w:tblPr>
        <w:tblW w:w="5317" w:type="dxa"/>
        <w:jc w:val="left"/>
        <w:tblInd w:w="0" w:type="dxa"/>
        <w:tblLayout w:type="fixed"/>
        <w:tblCellMar>
          <w:top w:w="28" w:type="dxa"/>
          <w:left w:w="28" w:type="dxa"/>
          <w:bottom w:w="28" w:type="dxa"/>
          <w:right w:w="28" w:type="dxa"/>
        </w:tblCellMar>
      </w:tblPr>
      <w:tblGrid>
        <w:gridCol w:w="1606"/>
        <w:gridCol w:w="301"/>
        <w:gridCol w:w="109"/>
        <w:gridCol w:w="3301"/>
      </w:tblGrid>
      <w:tr>
        <w:trPr/>
        <w:tc>
          <w:tcPr>
            <w:tcW w:w="16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Date: August 6, 2026</w:t>
            </w:r>
          </w:p>
        </w:tc>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 Brandon Satoren</w:t>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Brandon Satoren</w:t>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Chief Financial Officer</w:t>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Financial and Accounting Officer)</w:t>
            </w:r>
          </w:p>
        </w:tc>
      </w:tr>
    </w:tbl>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 * * * *</w:t>
      </w:r>
    </w:p>
    <w:p>
      <w:pPr>
        <w:pStyle w:val="TextBody"/>
        <w:bidi w:val="0"/>
        <w:jc w:val="left"/>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72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bcic-ex31_1.htm"/>
      <w:bookmarkStart w:id="24" w:name="ksbcicex31_1"/>
      <w:bookmarkEnd w:id="23"/>
      <w:bookmarkEnd w:id="24"/>
      <w:r>
        <w:rPr>
          <w:rFonts w:ascii="Times New Roman" w:hAnsi="Times New Roman"/>
          <w:b/>
          <w:color w:val="000000"/>
          <w:sz w:val="20"/>
        </w:rPr>
        <w:t>Exhibit 31.1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 and 15d-14(a) UNDER THE SECURITIES EXCHANGE ACT OF 1934, AS AMENDED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Edward Goldthorpe,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for the quarter ended June 30, 2026 of BCP Investment Corporation (the “registrant”);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29" w:type="dxa"/>
        <w:jc w:val="left"/>
        <w:tblInd w:w="0" w:type="dxa"/>
        <w:tblLayout w:type="fixed"/>
        <w:tblCellMar>
          <w:top w:w="28" w:type="dxa"/>
          <w:left w:w="28" w:type="dxa"/>
          <w:bottom w:w="28" w:type="dxa"/>
          <w:right w:w="28" w:type="dxa"/>
        </w:tblCellMar>
      </w:tblPr>
      <w:tblGrid>
        <w:gridCol w:w="1846"/>
        <w:gridCol w:w="406"/>
        <w:gridCol w:w="14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 August 6, 2026</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Edward Goldthorpe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Edward Goldthorpe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bcic-ex31_2.htm"/>
      <w:bookmarkStart w:id="26" w:name="ksbcicex31_2"/>
      <w:bookmarkEnd w:id="25"/>
      <w:bookmarkEnd w:id="26"/>
      <w:r>
        <w:rPr>
          <w:rFonts w:ascii="Times New Roman" w:hAnsi="Times New Roman"/>
          <w:b/>
          <w:color w:val="000000"/>
          <w:sz w:val="20"/>
        </w:rPr>
        <w:t>Exhibit 31.2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 and 15d-14(a) UNDER THE SECURITIES EXCHANGE ACT OF 1934, AS AMENDED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Brandon Satoren,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 ended June 30, 2026 of BCP Investment Corporation (the “registrant”);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846"/>
        <w:gridCol w:w="406"/>
        <w:gridCol w:w="14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 August 6, 2026</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Brandon Satoren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Brandon Satoren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bcic-ex32_1.htm"/>
      <w:bookmarkStart w:id="28" w:name="ksbcicex32_1"/>
      <w:bookmarkEnd w:id="27"/>
      <w:bookmarkEnd w:id="28"/>
      <w:r>
        <w:rPr>
          <w:rFonts w:ascii="Times New Roman" w:hAnsi="Times New Roman"/>
          <w:b/>
          <w:color w:val="000000"/>
          <w:sz w:val="20"/>
        </w:rPr>
        <w:t>Exhibit 32.1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1350, CHAPTER 63 OF TITLE 18, UNITED STATES CODE, AS ADOPTED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accompanying Quarterly Report of BCP Investment Corporation (the “Company”) on Form 10-Q for the quarter ended June 30, 2026 (the “Report”), I, Edward Goldthorpe, President and Chief Executive Officer of the Company, certify, pursuant to 18 U.S.C. §1350, as adopted pursuant to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Section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729" w:type="dxa"/>
        <w:jc w:val="left"/>
        <w:tblInd w:w="0" w:type="dxa"/>
        <w:tblLayout w:type="fixed"/>
        <w:tblCellMar>
          <w:top w:w="28" w:type="dxa"/>
          <w:left w:w="28" w:type="dxa"/>
          <w:bottom w:w="28" w:type="dxa"/>
          <w:right w:w="28" w:type="dxa"/>
        </w:tblCellMar>
      </w:tblPr>
      <w:tblGrid>
        <w:gridCol w:w="1846"/>
        <w:gridCol w:w="406"/>
        <w:gridCol w:w="14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 August 6, 2026</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Edward Goldthorpe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Edward Goldthorpe</w:t>
            </w:r>
            <w:r>
              <w:rPr>
                <w:rFonts w:ascii="Times New Roman" w:hAnsi="Times New Roman"/>
                <w:color w:val="000000"/>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bcic-ex32_2.htm"/>
      <w:bookmarkStart w:id="30" w:name="ksbcicex32_2"/>
      <w:bookmarkEnd w:id="29"/>
      <w:bookmarkEnd w:id="30"/>
      <w:r>
        <w:rPr>
          <w:rFonts w:ascii="Times New Roman" w:hAnsi="Times New Roman"/>
          <w:b/>
          <w:color w:val="000000"/>
          <w:sz w:val="20"/>
        </w:rPr>
        <w:t>Exhibit 32.2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1350, CHAPTER 63 OF TITLE 18, UNITED STATES CODE, AS ADOPTED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accompanying Quarterly Report of BCP Investment Corporation (the “Company”) on Form 10-Q for the quarter ended June 30, 2026 (the “Report”), I, Brandon Satoren, Chief Financial Officer of the Company, certify, pursuant to 18 U.S.C. §1350, as adopted pursuant to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Section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846"/>
        <w:gridCol w:w="406"/>
        <w:gridCol w:w="14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 August 6, 2026</w:t>
            </w:r>
          </w:p>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Brandon Satoren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Brandon Satoren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2807/000119312506204545/dex99a.htm" TargetMode="External"/><Relationship Id="rId3" Type="http://schemas.openxmlformats.org/officeDocument/2006/relationships/hyperlink" Target="https://www.sec.gov/Archives/edgar/data/1372807/000119312506204545/dex99a.htm" TargetMode="External"/><Relationship Id="rId4" Type="http://schemas.openxmlformats.org/officeDocument/2006/relationships/hyperlink" Target="https://www.sec.gov/Archives/edgar/data/1372807/000114420419017514/tv517653_ex3-1.htm" TargetMode="External"/><Relationship Id="rId5" Type="http://schemas.openxmlformats.org/officeDocument/2006/relationships/hyperlink" Target="https://www.sec.gov/Archives/edgar/data/1372807/000114420419017514/tv517653_ex3-1.htm" TargetMode="External"/><Relationship Id="rId6" Type="http://schemas.openxmlformats.org/officeDocument/2006/relationships/hyperlink" Target="https://www.sec.gov/Archives/edgar/data/1372807/000119312521256995/d210335dex31.htm" TargetMode="External"/><Relationship Id="rId7" Type="http://schemas.openxmlformats.org/officeDocument/2006/relationships/hyperlink" Target="https://www.sec.gov/Archives/edgar/data/1372807/000119312521256995/d210335dex31.htm" TargetMode="External"/><Relationship Id="rId8" Type="http://schemas.openxmlformats.org/officeDocument/2006/relationships/hyperlink" Target="https://www.sec.gov/Archives/edgar/data/1372807/000119312521256995/d210335dex31.htm" TargetMode="External"/><Relationship Id="rId9" Type="http://schemas.openxmlformats.org/officeDocument/2006/relationships/hyperlink" Target="https://www.sec.gov/Archives/edgar/data/1372807/000119312521256995/d210335dex32.htm" TargetMode="External"/><Relationship Id="rId10" Type="http://schemas.openxmlformats.org/officeDocument/2006/relationships/hyperlink" Target="https://www.sec.gov/Archives/edgar/data/1372807/000119312521256995/d210335dex32.htm" TargetMode="External"/><Relationship Id="rId11" Type="http://schemas.openxmlformats.org/officeDocument/2006/relationships/hyperlink" Target="https://www.sec.gov/Archives/edgar/data/1372807/000119312521256995/d210335dex32.htm" TargetMode="External"/><Relationship Id="rId12" Type="http://schemas.openxmlformats.org/officeDocument/2006/relationships/hyperlink" Target="https://www.sec.gov/Archives/edgar/data/1372807/000119312525185297/d937608dex31.htm" TargetMode="External"/><Relationship Id="rId13" Type="http://schemas.openxmlformats.org/officeDocument/2006/relationships/hyperlink" Target="https://www.sec.gov/Archives/edgar/data/1372807/000119312525185297/d937608dex31.htm" TargetMode="External"/><Relationship Id="rId14" Type="http://schemas.openxmlformats.org/officeDocument/2006/relationships/hyperlink" Target="https://www.sec.gov/Archives/edgar/data/1372807/000119312525269482/bcic-ex3_2.htm" TargetMode="External"/><Relationship Id="rId15" Type="http://schemas.openxmlformats.org/officeDocument/2006/relationships/hyperlink" Target="https://www.sec.gov/Archives/edgar/data/1372807/000119312525269482/bcic-ex3_2.htm" TargetMode="External"/><Relationship Id="rId16" Type="http://schemas.openxmlformats.org/officeDocument/2006/relationships/hyperlink" Target="https://www.sec.gov/Archives/edgar/data/1372807/000119312525240428/d91766dex41.htm" TargetMode="External"/><Relationship Id="rId17" Type="http://schemas.openxmlformats.org/officeDocument/2006/relationships/hyperlink" Target="https://www.sec.gov/Archives/edgar/data/1372807/000119312525240428/d91766dex41.htm" TargetMode="External"/><Relationship Id="rId18" Type="http://schemas.openxmlformats.org/officeDocument/2006/relationships/hyperlink" Target="https://www.sec.gov/Archives/edgar/data/1372807/000119312525240428/d91766dex42.htm" TargetMode="External"/><Relationship Id="rId19" Type="http://schemas.openxmlformats.org/officeDocument/2006/relationships/hyperlink" Target="https://www.sec.gov/Archives/edgar/data/1372807/000119312525240428/d91766dex42.htm" TargetMode="External"/><Relationship Id="rId20" Type="http://schemas.openxmlformats.org/officeDocument/2006/relationships/hyperlink" Target="https://www.sec.gov/Archives/edgar/data/1372807/000119312525240428/d91766dex41.htm" TargetMode="External"/><Relationship Id="rId21" Type="http://schemas.openxmlformats.org/officeDocument/2006/relationships/hyperlink" Target="https://www.sec.gov/Archives/edgar/data/1372807/000119312525240428/d91766dex41.htm" TargetMode="External"/><Relationship Id="rId22" Type="http://schemas.openxmlformats.org/officeDocument/2006/relationships/hyperlink" Target="https://www.sec.gov/Archives/edgar/data/1372807/000119312525240428/d91766dex42.htm" TargetMode="External"/><Relationship Id="rId23" Type="http://schemas.openxmlformats.org/officeDocument/2006/relationships/hyperlink" Target="https://www.sec.gov/Archives/edgar/data/1372807/000119312525240428/d91766dex42.htm" TargetMode="External"/><Relationship Id="rId24" Type="http://schemas.openxmlformats.org/officeDocument/2006/relationships/hyperlink" Target="https://www.sec.gov/Archives/edgar/data/1372807/000119312526122220/d114630dex41.htm" TargetMode="External"/><Relationship Id="rId25" Type="http://schemas.openxmlformats.org/officeDocument/2006/relationships/hyperlink" Target="https://www.sec.gov/Archives/edgar/data/1372807/000119312526122220/d114630dex41.htm" TargetMode="External"/><Relationship Id="rId26" Type="http://schemas.openxmlformats.org/officeDocument/2006/relationships/hyperlink" Target="https://www.sec.gov/Archives/edgar/data/1571329/000119312521315518/d207689dex41.htm" TargetMode="External"/><Relationship Id="rId27" Type="http://schemas.openxmlformats.org/officeDocument/2006/relationships/hyperlink" Target="https://www.sec.gov/Archives/edgar/data/1571329/000119312521315518/d207689dex41.htm" TargetMode="External"/><Relationship Id="rId28" Type="http://schemas.openxmlformats.org/officeDocument/2006/relationships/hyperlink" Target="https://www.sec.gov/Archives/edgar/data/1372807/000119312525269482/bcic-ex4_6.htm" TargetMode="External"/><Relationship Id="rId29" Type="http://schemas.openxmlformats.org/officeDocument/2006/relationships/hyperlink" Target="https://www.sec.gov/Archives/edgar/data/1372807/000119312525269482/bcic-ex4_6.htm" TargetMode="External"/><Relationship Id="rId30" Type="http://schemas.openxmlformats.org/officeDocument/2006/relationships/hyperlink" Target="https://www.sec.gov/Archives/edgar/data/1372807/000119312526122220/d114630dex41.htm" TargetMode="External"/><Relationship Id="rId31" Type="http://schemas.openxmlformats.org/officeDocument/2006/relationships/hyperlink" Target="https://www.sec.gov/Archives/edgar/data/1372807/000119312526122220/d114630dex41.htm" TargetMode="External"/><Relationship Id="rId32" Type="http://schemas.openxmlformats.org/officeDocument/2006/relationships/hyperlink" Target="https://www.sec.gov/Archives/edgar/data/1372807/000119312525240428/d91766dex101.htm" TargetMode="External"/><Relationship Id="rId33" Type="http://schemas.openxmlformats.org/officeDocument/2006/relationships/hyperlink" Target="https://www.sec.gov/Archives/edgar/data/1372807/000119312525240428/d91766dex101.htm" TargetMode="External"/><Relationship Id="rId34" Type="http://schemas.openxmlformats.org/officeDocument/2006/relationships/hyperlink" Target="https://www.sec.gov/Archives/edgar/data/1372807/000119312526104166/d42440dex101.htm" TargetMode="External"/><Relationship Id="rId35" Type="http://schemas.openxmlformats.org/officeDocument/2006/relationships/hyperlink" Target="https://www.sec.gov/Archives/edgar/data/1372807/000119312526104166/d42440dex101.htm" TargetMode="External"/><Relationship Id="rId36" Type="http://schemas.openxmlformats.org/officeDocument/2006/relationships/hyperlink" Target="https://www.sec.gov/Archives/edgar/data/1372807/000119312526122220/d114630dex101.htm" TargetMode="External"/><Relationship Id="rId37" Type="http://schemas.openxmlformats.org/officeDocument/2006/relationships/hyperlink" Target="https://www.sec.gov/Archives/edgar/data/1372807/000119312526122220/d114630dex101.htm" TargetMode="External"/><Relationship Id="rId38" Type="http://schemas.openxmlformats.org/officeDocument/2006/relationships/hyperlink" Target="https://www.sec.gov/Archives/edgar/data/1571329/000119312524205413/d227256dex101.htm" TargetMode="External"/><Relationship Id="rId39" Type="http://schemas.openxmlformats.org/officeDocument/2006/relationships/hyperlink" Target="https://www.sec.gov/Archives/edgar/data/1571329/000119312524205413/d227256dex101.htm" TargetMode="External"/><Relationship Id="rId40" Type="http://schemas.openxmlformats.org/officeDocument/2006/relationships/hyperlink" Target="https://www.sec.gov/Archives/edgar/data/1372807/000162828025035078/exhibit42-ptmnclosing8xk.htm" TargetMode="External"/><Relationship Id="rId41" Type="http://schemas.openxmlformats.org/officeDocument/2006/relationships/hyperlink" Target="https://www.sec.gov/Archives/edgar/data/1372807/000162828025035078/exhibit42-ptmnclosing8xk.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62106</Words>
  <Characters>337180</Characters>
  <CharactersWithSpaces>402830</CharactersWithSpaces>
  <Paragraphs>24611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